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66D13D">
      <w:pPr>
        <w:jc w:val="center"/>
        <w:rPr>
          <w:rFonts w:hint="default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  <w:t>杭州师范大学硕士研究生公共外语免修条件</w:t>
      </w:r>
    </w:p>
    <w:p w14:paraId="4CE282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ascii="仿宋_GB2312" w:eastAsia="仿宋_GB2312" w:hAnsiTheme="minorEastAsia"/>
          <w:sz w:val="24"/>
          <w:szCs w:val="24"/>
        </w:rPr>
      </w:pPr>
      <w:r>
        <w:rPr>
          <w:rFonts w:hint="eastAsia" w:ascii="楷体" w:hAnsi="楷体" w:eastAsia="楷体"/>
          <w:sz w:val="24"/>
          <w:szCs w:val="24"/>
        </w:rPr>
        <w:t>一</w:t>
      </w:r>
      <w:r>
        <w:rPr>
          <w:rFonts w:hint="eastAsia" w:ascii="楷体" w:hAnsi="楷体" w:eastAsia="楷体"/>
          <w:sz w:val="24"/>
          <w:szCs w:val="24"/>
          <w:lang w:eastAsia="zh-CN"/>
        </w:rPr>
        <w:t>、</w:t>
      </w:r>
      <w:r>
        <w:rPr>
          <w:rFonts w:hint="eastAsia" w:ascii="仿宋_GB2312" w:eastAsia="仿宋_GB2312" w:hAnsiTheme="minorEastAsia"/>
          <w:sz w:val="24"/>
          <w:szCs w:val="24"/>
        </w:rPr>
        <w:t>符合下列条件之一的</w:t>
      </w:r>
      <w:r>
        <w:rPr>
          <w:rFonts w:hint="eastAsia" w:ascii="仿宋_GB2312" w:eastAsia="仿宋_GB2312" w:hAnsiTheme="minorEastAsia"/>
          <w:b/>
          <w:bCs/>
          <w:sz w:val="24"/>
          <w:szCs w:val="24"/>
        </w:rPr>
        <w:t>非英语专业研究生</w:t>
      </w:r>
      <w:r>
        <w:rPr>
          <w:rFonts w:hint="eastAsia" w:ascii="仿宋_GB2312" w:eastAsia="仿宋_GB2312" w:hAnsiTheme="minorEastAsia"/>
          <w:sz w:val="24"/>
          <w:szCs w:val="24"/>
        </w:rPr>
        <w:t>，可以</w:t>
      </w:r>
      <w:r>
        <w:rPr>
          <w:rFonts w:hint="eastAsia" w:ascii="仿宋_GB2312" w:eastAsia="仿宋_GB2312" w:hAnsiTheme="minorEastAsia"/>
          <w:b/>
          <w:bCs/>
          <w:sz w:val="24"/>
          <w:szCs w:val="24"/>
        </w:rPr>
        <w:t>申请免修研究生公共英语课程</w:t>
      </w:r>
      <w:r>
        <w:rPr>
          <w:rFonts w:hint="eastAsia" w:ascii="仿宋_GB2312" w:eastAsia="仿宋_GB2312" w:hAnsiTheme="minorEastAsia"/>
          <w:sz w:val="24"/>
          <w:szCs w:val="24"/>
        </w:rPr>
        <w:t>：</w:t>
      </w:r>
    </w:p>
    <w:p w14:paraId="6134F4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40" w:firstLineChars="100"/>
        <w:textAlignment w:val="auto"/>
        <w:rPr>
          <w:rFonts w:ascii="仿宋_GB2312" w:eastAsia="仿宋_GB2312" w:hAnsiTheme="minorEastAsia"/>
          <w:sz w:val="24"/>
          <w:szCs w:val="24"/>
        </w:rPr>
      </w:pPr>
      <w:r>
        <w:rPr>
          <w:rFonts w:hint="eastAsia" w:ascii="仿宋_GB2312" w:eastAsia="仿宋_GB2312" w:hAnsiTheme="minorEastAsia"/>
          <w:sz w:val="24"/>
          <w:szCs w:val="24"/>
        </w:rPr>
        <w:t>1.参加TOEFL考试，成绩不低于80分。</w:t>
      </w:r>
    </w:p>
    <w:p w14:paraId="467CE3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40" w:firstLineChars="100"/>
        <w:textAlignment w:val="auto"/>
        <w:rPr>
          <w:rFonts w:ascii="仿宋_GB2312" w:eastAsia="仿宋_GB2312" w:hAnsiTheme="minorEastAsia"/>
          <w:sz w:val="24"/>
          <w:szCs w:val="24"/>
        </w:rPr>
      </w:pPr>
      <w:r>
        <w:rPr>
          <w:rFonts w:hint="eastAsia" w:ascii="仿宋_GB2312" w:eastAsia="仿宋_GB2312" w:hAnsiTheme="minorEastAsia"/>
          <w:sz w:val="24"/>
          <w:szCs w:val="24"/>
        </w:rPr>
        <w:t>2.参加IELTS考试，成绩不低于6.5分。</w:t>
      </w:r>
    </w:p>
    <w:p w14:paraId="29FB30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40" w:firstLineChars="100"/>
        <w:textAlignment w:val="auto"/>
        <w:rPr>
          <w:rFonts w:ascii="仿宋_GB2312" w:eastAsia="仿宋_GB2312" w:hAnsiTheme="minorEastAsia"/>
          <w:sz w:val="24"/>
          <w:szCs w:val="24"/>
        </w:rPr>
      </w:pPr>
      <w:r>
        <w:rPr>
          <w:rFonts w:hint="eastAsia" w:ascii="仿宋_GB2312" w:eastAsia="仿宋_GB2312" w:hAnsiTheme="minorEastAsia"/>
          <w:sz w:val="24"/>
          <w:szCs w:val="24"/>
        </w:rPr>
        <w:t>3.参加GRE考试，成绩不低于300分。</w:t>
      </w:r>
    </w:p>
    <w:p w14:paraId="414AF9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40" w:firstLineChars="100"/>
        <w:textAlignment w:val="auto"/>
        <w:rPr>
          <w:rFonts w:ascii="仿宋_GB2312" w:eastAsia="仿宋_GB2312" w:hAnsiTheme="minorEastAsia"/>
          <w:sz w:val="24"/>
          <w:szCs w:val="24"/>
        </w:rPr>
      </w:pPr>
      <w:r>
        <w:rPr>
          <w:rFonts w:hint="eastAsia" w:ascii="仿宋_GB2312" w:eastAsia="仿宋_GB2312" w:hAnsiTheme="minorEastAsia"/>
          <w:sz w:val="24"/>
          <w:szCs w:val="24"/>
        </w:rPr>
        <w:t>4.全国大学英语六级考试（CET-6）成绩达到500分及以上。</w:t>
      </w:r>
    </w:p>
    <w:p w14:paraId="124FE2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40" w:firstLineChars="100"/>
        <w:textAlignment w:val="auto"/>
        <w:rPr>
          <w:rFonts w:ascii="仿宋_GB2312" w:eastAsia="仿宋_GB2312" w:hAnsiTheme="minorEastAsia"/>
          <w:sz w:val="24"/>
          <w:szCs w:val="24"/>
        </w:rPr>
      </w:pPr>
      <w:r>
        <w:rPr>
          <w:rFonts w:hint="eastAsia" w:ascii="仿宋_GB2312" w:eastAsia="仿宋_GB2312" w:hAnsiTheme="minorEastAsia"/>
          <w:sz w:val="24"/>
          <w:szCs w:val="24"/>
        </w:rPr>
        <w:t>5.参加全国高校英语专业八级考试（TEM-8）成绩合格。</w:t>
      </w:r>
    </w:p>
    <w:p w14:paraId="46F175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40" w:firstLineChars="100"/>
        <w:textAlignment w:val="auto"/>
        <w:rPr>
          <w:rFonts w:ascii="仿宋_GB2312" w:eastAsia="仿宋_GB2312" w:hAnsiTheme="minorEastAsia"/>
          <w:sz w:val="24"/>
          <w:szCs w:val="24"/>
        </w:rPr>
      </w:pPr>
      <w:r>
        <w:rPr>
          <w:rFonts w:hint="eastAsia" w:ascii="仿宋_GB2312" w:eastAsia="仿宋_GB2312" w:hAnsiTheme="minorEastAsia"/>
          <w:sz w:val="24"/>
          <w:szCs w:val="24"/>
        </w:rPr>
        <w:t>6.在教育部认证的英语官方语言国家获得过学位，或在香港特别行政区或澳门特别行政区获得过学位。</w:t>
      </w:r>
    </w:p>
    <w:p w14:paraId="680E49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-313" w:rightChars="-149" w:firstLine="240" w:firstLineChars="100"/>
        <w:textAlignment w:val="auto"/>
        <w:rPr>
          <w:rFonts w:ascii="楷体" w:hAnsi="楷体" w:eastAsia="楷体"/>
          <w:sz w:val="24"/>
          <w:szCs w:val="24"/>
        </w:rPr>
      </w:pPr>
      <w:r>
        <w:rPr>
          <w:rFonts w:hint="eastAsia" w:ascii="仿宋_GB2312" w:eastAsia="仿宋_GB2312" w:hAnsiTheme="minorEastAsia"/>
          <w:sz w:val="24"/>
          <w:szCs w:val="24"/>
        </w:rPr>
        <w:t>7.</w:t>
      </w:r>
      <w:r>
        <w:rPr>
          <w:rFonts w:hint="eastAsia" w:ascii="仿宋_GB2312" w:eastAsia="仿宋_GB2312" w:hAnsiTheme="minorEastAsia"/>
          <w:sz w:val="24"/>
          <w:szCs w:val="24"/>
          <w:lang w:val="en-US" w:eastAsia="zh-CN"/>
        </w:rPr>
        <w:t>入学</w:t>
      </w:r>
      <w:r>
        <w:rPr>
          <w:rFonts w:hint="eastAsia" w:ascii="仿宋_GB2312" w:eastAsia="仿宋_GB2312" w:hAnsiTheme="minorEastAsia"/>
          <w:sz w:val="24"/>
          <w:szCs w:val="24"/>
        </w:rPr>
        <w:t>当年硕士研究生入学考试英语75分及以上。（注：如遇特殊情况，外国语学院大学外语部将据具体情况，调整当年的免修分数线并发布通知；如未通知，则默认75分）</w:t>
      </w:r>
    </w:p>
    <w:p w14:paraId="6C13EF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ascii="仿宋_GB2312" w:eastAsia="仿宋_GB2312" w:hAnsiTheme="minorEastAsia"/>
          <w:sz w:val="24"/>
          <w:szCs w:val="24"/>
        </w:rPr>
      </w:pPr>
      <w:r>
        <w:rPr>
          <w:rFonts w:hint="eastAsia" w:ascii="仿宋_GB2312" w:eastAsia="仿宋_GB2312" w:hAnsiTheme="minorEastAsia"/>
          <w:sz w:val="24"/>
          <w:szCs w:val="24"/>
        </w:rPr>
        <w:t>二</w:t>
      </w:r>
      <w:r>
        <w:rPr>
          <w:rFonts w:hint="eastAsia" w:ascii="仿宋_GB2312" w:eastAsia="仿宋_GB2312" w:hAnsiTheme="minorEastAsia"/>
          <w:sz w:val="24"/>
          <w:szCs w:val="24"/>
          <w:lang w:eastAsia="zh-CN"/>
        </w:rPr>
        <w:t>、</w:t>
      </w:r>
      <w:r>
        <w:rPr>
          <w:rFonts w:hint="eastAsia" w:ascii="仿宋_GB2312" w:eastAsia="仿宋_GB2312" w:hAnsiTheme="minorEastAsia"/>
          <w:sz w:val="24"/>
          <w:szCs w:val="24"/>
        </w:rPr>
        <w:t>符合下列条件之一的</w:t>
      </w:r>
      <w:r>
        <w:rPr>
          <w:rFonts w:hint="eastAsia" w:ascii="仿宋_GB2312" w:eastAsia="仿宋_GB2312" w:hAnsiTheme="minorEastAsia"/>
          <w:b/>
          <w:bCs/>
          <w:sz w:val="24"/>
          <w:szCs w:val="24"/>
        </w:rPr>
        <w:t>非外语专业研究生</w:t>
      </w:r>
      <w:r>
        <w:rPr>
          <w:rFonts w:hint="eastAsia" w:ascii="仿宋_GB2312" w:eastAsia="仿宋_GB2312" w:hAnsiTheme="minorEastAsia"/>
          <w:sz w:val="24"/>
          <w:szCs w:val="24"/>
        </w:rPr>
        <w:t>，可以申请免修研究生公共外语课程（小语种课程）：</w:t>
      </w:r>
    </w:p>
    <w:p w14:paraId="2682BE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ascii="仿宋_GB2312" w:eastAsia="仿宋_GB2312" w:hAnsiTheme="minorEastAsia"/>
          <w:sz w:val="24"/>
          <w:szCs w:val="24"/>
        </w:rPr>
      </w:pPr>
      <w:r>
        <w:rPr>
          <w:rFonts w:hint="eastAsia" w:ascii="仿宋_GB2312" w:eastAsia="仿宋_GB2312" w:hAnsiTheme="minorEastAsia"/>
          <w:sz w:val="24"/>
          <w:szCs w:val="24"/>
        </w:rPr>
        <w:t xml:space="preserve">   </w:t>
      </w:r>
      <w:r>
        <w:rPr>
          <w:rFonts w:hint="eastAsia" w:ascii="仿宋_GB2312" w:eastAsia="仿宋_GB2312" w:hAnsiTheme="minorEastAsia"/>
          <w:b/>
          <w:bCs/>
          <w:sz w:val="24"/>
          <w:szCs w:val="24"/>
        </w:rPr>
        <w:t>申请免修研究生日语课程：</w:t>
      </w:r>
    </w:p>
    <w:p w14:paraId="472C32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40" w:firstLineChars="100"/>
        <w:textAlignment w:val="auto"/>
        <w:rPr>
          <w:rFonts w:ascii="仿宋_GB2312" w:eastAsia="仿宋_GB2312" w:hAnsiTheme="minorEastAsia"/>
          <w:sz w:val="24"/>
          <w:szCs w:val="24"/>
        </w:rPr>
      </w:pPr>
      <w:r>
        <w:rPr>
          <w:rFonts w:hint="eastAsia" w:ascii="仿宋_GB2312" w:eastAsia="仿宋_GB2312" w:hAnsiTheme="minorEastAsia"/>
          <w:sz w:val="24"/>
          <w:szCs w:val="24"/>
        </w:rPr>
        <w:t>1.</w:t>
      </w:r>
      <w:r>
        <w:rPr>
          <w:rFonts w:hint="eastAsia" w:ascii="仿宋_GB2312" w:eastAsia="仿宋_GB2312" w:hAnsiTheme="minorEastAsia"/>
          <w:sz w:val="24"/>
          <w:szCs w:val="24"/>
          <w:lang w:val="en-US" w:eastAsia="zh-CN"/>
        </w:rPr>
        <w:t>入学</w:t>
      </w:r>
      <w:bookmarkStart w:id="0" w:name="_GoBack"/>
      <w:bookmarkEnd w:id="0"/>
      <w:r>
        <w:rPr>
          <w:rFonts w:hint="eastAsia" w:ascii="仿宋_GB2312" w:eastAsia="仿宋_GB2312" w:hAnsiTheme="minorEastAsia"/>
          <w:sz w:val="24"/>
          <w:szCs w:val="24"/>
        </w:rPr>
        <w:t>当年</w:t>
      </w:r>
      <w:r>
        <w:rPr>
          <w:rFonts w:ascii="仿宋_GB2312" w:eastAsia="仿宋_GB2312" w:hAnsiTheme="minorEastAsia"/>
          <w:sz w:val="24"/>
          <w:szCs w:val="24"/>
        </w:rPr>
        <w:t>全国硕士研究生入学全国统考日语</w:t>
      </w:r>
      <w:r>
        <w:rPr>
          <w:rFonts w:hint="eastAsia" w:ascii="仿宋_GB2312" w:eastAsia="仿宋_GB2312" w:hAnsiTheme="minorEastAsia"/>
          <w:sz w:val="24"/>
          <w:szCs w:val="24"/>
        </w:rPr>
        <w:t>，</w:t>
      </w:r>
      <w:r>
        <w:rPr>
          <w:rFonts w:ascii="仿宋_GB2312" w:eastAsia="仿宋_GB2312" w:hAnsiTheme="minorEastAsia"/>
          <w:sz w:val="24"/>
          <w:szCs w:val="24"/>
        </w:rPr>
        <w:t>成绩</w:t>
      </w:r>
      <w:r>
        <w:rPr>
          <w:rFonts w:hint="eastAsia" w:ascii="仿宋_GB2312" w:eastAsia="仿宋_GB2312" w:hAnsiTheme="minorEastAsia"/>
          <w:sz w:val="24"/>
          <w:szCs w:val="24"/>
        </w:rPr>
        <w:t>不低于</w:t>
      </w:r>
      <w:r>
        <w:rPr>
          <w:rFonts w:ascii="仿宋_GB2312" w:eastAsia="仿宋_GB2312" w:hAnsiTheme="minorEastAsia"/>
          <w:sz w:val="24"/>
          <w:szCs w:val="24"/>
        </w:rPr>
        <w:t>75</w:t>
      </w:r>
      <w:r>
        <w:rPr>
          <w:rFonts w:hint="eastAsia" w:ascii="仿宋_GB2312" w:eastAsia="仿宋_GB2312" w:hAnsiTheme="minorEastAsia"/>
          <w:sz w:val="24"/>
          <w:szCs w:val="24"/>
        </w:rPr>
        <w:t>。</w:t>
      </w:r>
    </w:p>
    <w:p w14:paraId="587555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40" w:firstLineChars="100"/>
        <w:textAlignment w:val="auto"/>
        <w:rPr>
          <w:rFonts w:ascii="仿宋_GB2312" w:eastAsia="仿宋_GB2312" w:hAnsiTheme="minorEastAsia"/>
          <w:sz w:val="24"/>
          <w:szCs w:val="24"/>
        </w:rPr>
      </w:pPr>
      <w:r>
        <w:rPr>
          <w:rFonts w:hint="eastAsia" w:ascii="仿宋_GB2312" w:eastAsia="仿宋_GB2312" w:hAnsiTheme="minorEastAsia"/>
          <w:sz w:val="24"/>
          <w:szCs w:val="24"/>
        </w:rPr>
        <w:t>2.</w:t>
      </w:r>
      <w:r>
        <w:rPr>
          <w:rFonts w:ascii="仿宋_GB2312" w:eastAsia="仿宋_GB2312" w:hAnsiTheme="minorEastAsia"/>
          <w:sz w:val="24"/>
          <w:szCs w:val="24"/>
        </w:rPr>
        <w:t>全国大学日语考试六级</w:t>
      </w:r>
      <w:r>
        <w:rPr>
          <w:rFonts w:hint="eastAsia" w:ascii="仿宋_GB2312" w:eastAsia="仿宋_GB2312" w:hAnsiTheme="minorEastAsia"/>
          <w:sz w:val="24"/>
          <w:szCs w:val="24"/>
        </w:rPr>
        <w:t>，成绩不低于</w:t>
      </w:r>
      <w:r>
        <w:rPr>
          <w:rFonts w:ascii="仿宋_GB2312" w:eastAsia="仿宋_GB2312" w:hAnsiTheme="minorEastAsia"/>
          <w:sz w:val="24"/>
          <w:szCs w:val="24"/>
        </w:rPr>
        <w:t>70分</w:t>
      </w:r>
      <w:r>
        <w:rPr>
          <w:rFonts w:hint="eastAsia" w:ascii="仿宋_GB2312" w:eastAsia="仿宋_GB2312" w:hAnsiTheme="minorEastAsia"/>
          <w:sz w:val="24"/>
          <w:szCs w:val="24"/>
        </w:rPr>
        <w:t>。</w:t>
      </w:r>
    </w:p>
    <w:p w14:paraId="2DC0E4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40" w:firstLineChars="100"/>
        <w:textAlignment w:val="auto"/>
        <w:rPr>
          <w:rFonts w:ascii="仿宋_GB2312" w:eastAsia="仿宋_GB2312" w:hAnsiTheme="minorEastAsia"/>
          <w:sz w:val="24"/>
          <w:szCs w:val="24"/>
        </w:rPr>
      </w:pPr>
      <w:r>
        <w:rPr>
          <w:rFonts w:hint="eastAsia" w:ascii="仿宋_GB2312" w:eastAsia="仿宋_GB2312" w:hAnsiTheme="minorEastAsia"/>
          <w:sz w:val="24"/>
          <w:szCs w:val="24"/>
        </w:rPr>
        <w:t>3.</w:t>
      </w:r>
      <w:r>
        <w:rPr>
          <w:rFonts w:ascii="仿宋_GB2312" w:eastAsia="仿宋_GB2312" w:hAnsiTheme="minorEastAsia"/>
          <w:sz w:val="24"/>
          <w:szCs w:val="24"/>
        </w:rPr>
        <w:t>日语能力考试2级</w:t>
      </w:r>
      <w:r>
        <w:rPr>
          <w:rFonts w:hint="eastAsia" w:ascii="仿宋_GB2312" w:eastAsia="仿宋_GB2312" w:hAnsiTheme="minorEastAsia"/>
          <w:sz w:val="24"/>
          <w:szCs w:val="24"/>
        </w:rPr>
        <w:t>，成绩不低于</w:t>
      </w:r>
      <w:r>
        <w:rPr>
          <w:rFonts w:ascii="仿宋_GB2312" w:eastAsia="仿宋_GB2312" w:hAnsiTheme="minorEastAsia"/>
          <w:sz w:val="24"/>
          <w:szCs w:val="24"/>
        </w:rPr>
        <w:t>130分</w:t>
      </w:r>
      <w:r>
        <w:rPr>
          <w:rFonts w:hint="eastAsia" w:ascii="仿宋_GB2312" w:eastAsia="仿宋_GB2312" w:hAnsiTheme="minorEastAsia"/>
          <w:sz w:val="24"/>
          <w:szCs w:val="24"/>
        </w:rPr>
        <w:t>。</w:t>
      </w:r>
    </w:p>
    <w:p w14:paraId="5E99B8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40" w:firstLineChars="100"/>
        <w:textAlignment w:val="auto"/>
        <w:rPr>
          <w:rFonts w:ascii="仿宋_GB2312" w:eastAsia="仿宋_GB2312" w:hAnsiTheme="minorEastAsia"/>
          <w:sz w:val="24"/>
          <w:szCs w:val="24"/>
        </w:rPr>
      </w:pPr>
      <w:r>
        <w:rPr>
          <w:rFonts w:hint="eastAsia" w:ascii="仿宋_GB2312" w:eastAsia="仿宋_GB2312" w:hAnsiTheme="minorEastAsia"/>
          <w:sz w:val="24"/>
          <w:szCs w:val="24"/>
        </w:rPr>
        <w:t>4.本科阶段攻读日语专业，现攻读非日语专业研究生。</w:t>
      </w:r>
    </w:p>
    <w:p w14:paraId="7363B1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40" w:firstLineChars="100"/>
        <w:textAlignment w:val="auto"/>
        <w:rPr>
          <w:rFonts w:ascii="仿宋_GB2312" w:eastAsia="仿宋_GB2312" w:hAnsiTheme="minorEastAsia"/>
          <w:sz w:val="24"/>
          <w:szCs w:val="24"/>
        </w:rPr>
      </w:pPr>
      <w:r>
        <w:rPr>
          <w:rFonts w:hint="eastAsia" w:ascii="仿宋_GB2312" w:eastAsia="仿宋_GB2312" w:hAnsiTheme="minorEastAsia"/>
          <w:sz w:val="24"/>
          <w:szCs w:val="24"/>
        </w:rPr>
        <w:t>5.入学前在日本学习并获得学士学位，现攻读非日语专业研究生。</w:t>
      </w:r>
    </w:p>
    <w:p w14:paraId="631AE2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ascii="仿宋_GB2312" w:eastAsia="仿宋_GB2312" w:hAnsiTheme="minorEastAsia"/>
          <w:sz w:val="24"/>
          <w:szCs w:val="24"/>
        </w:rPr>
      </w:pPr>
      <w:r>
        <w:rPr>
          <w:rFonts w:hint="eastAsia" w:ascii="仿宋_GB2312" w:eastAsia="仿宋_GB2312" w:hAnsiTheme="minorEastAsia"/>
          <w:sz w:val="24"/>
          <w:szCs w:val="24"/>
        </w:rPr>
        <w:t xml:space="preserve">   </w:t>
      </w:r>
      <w:r>
        <w:rPr>
          <w:rFonts w:hint="eastAsia" w:ascii="仿宋_GB2312" w:eastAsia="仿宋_GB2312" w:hAnsiTheme="minorEastAsia"/>
          <w:b/>
          <w:bCs/>
          <w:sz w:val="24"/>
          <w:szCs w:val="24"/>
        </w:rPr>
        <w:t>申请免修研究生</w:t>
      </w:r>
      <w:r>
        <w:rPr>
          <w:rFonts w:hint="eastAsia" w:ascii="仿宋_GB2312" w:eastAsia="仿宋_GB2312" w:hAnsiTheme="minorEastAsia"/>
          <w:b/>
          <w:bCs/>
          <w:sz w:val="24"/>
          <w:szCs w:val="24"/>
          <w:lang w:val="en-US" w:eastAsia="zh-CN"/>
        </w:rPr>
        <w:t>其他</w:t>
      </w:r>
      <w:r>
        <w:rPr>
          <w:rFonts w:hint="eastAsia" w:ascii="仿宋_GB2312" w:eastAsia="仿宋_GB2312" w:hAnsiTheme="minorEastAsia"/>
          <w:b/>
          <w:bCs/>
          <w:sz w:val="24"/>
          <w:szCs w:val="24"/>
        </w:rPr>
        <w:t>外语课程（小语种）：</w:t>
      </w:r>
    </w:p>
    <w:p w14:paraId="6F59A9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40" w:firstLineChars="100"/>
        <w:textAlignment w:val="auto"/>
        <w:rPr>
          <w:rFonts w:ascii="仿宋_GB2312" w:eastAsia="仿宋_GB2312" w:hAnsiTheme="minorEastAsia"/>
          <w:sz w:val="24"/>
          <w:szCs w:val="24"/>
        </w:rPr>
      </w:pPr>
      <w:r>
        <w:rPr>
          <w:rFonts w:hint="eastAsia" w:ascii="仿宋_GB2312" w:eastAsia="仿宋_GB2312" w:hAnsiTheme="minorEastAsia"/>
          <w:sz w:val="24"/>
          <w:szCs w:val="24"/>
        </w:rPr>
        <w:t>1.</w:t>
      </w:r>
      <w:r>
        <w:rPr>
          <w:rFonts w:ascii="仿宋_GB2312" w:eastAsia="仿宋_GB2312" w:hAnsiTheme="minorEastAsia"/>
          <w:sz w:val="24"/>
          <w:szCs w:val="24"/>
        </w:rPr>
        <w:t>在国外或境外大学或高等教育机构攻</w:t>
      </w:r>
      <w:r>
        <w:rPr>
          <w:rFonts w:hint="eastAsia" w:ascii="仿宋_GB2312" w:eastAsia="仿宋_GB2312" w:hAnsiTheme="minorEastAsia"/>
          <w:sz w:val="24"/>
          <w:szCs w:val="24"/>
        </w:rPr>
        <w:t>读正规课程获得</w:t>
      </w:r>
      <w:r>
        <w:rPr>
          <w:rFonts w:hint="eastAsia" w:ascii="仿宋_GB2312" w:eastAsia="仿宋_GB2312" w:hAnsiTheme="minorEastAsia"/>
          <w:sz w:val="24"/>
          <w:szCs w:val="24"/>
          <w:lang w:val="en-US" w:eastAsia="zh-CN"/>
        </w:rPr>
        <w:t>大学</w:t>
      </w:r>
      <w:r>
        <w:rPr>
          <w:rFonts w:hint="eastAsia" w:ascii="仿宋_GB2312" w:eastAsia="仿宋_GB2312" w:hAnsiTheme="minorEastAsia"/>
          <w:sz w:val="24"/>
          <w:szCs w:val="24"/>
        </w:rPr>
        <w:t>本科及以上学历学位。</w:t>
      </w:r>
    </w:p>
    <w:p w14:paraId="17942B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40" w:firstLineChars="100"/>
        <w:textAlignment w:val="auto"/>
        <w:rPr>
          <w:rFonts w:ascii="仿宋_GB2312" w:eastAsia="仿宋_GB2312" w:hAnsiTheme="minorEastAsia"/>
          <w:sz w:val="24"/>
          <w:szCs w:val="24"/>
        </w:rPr>
      </w:pPr>
      <w:r>
        <w:rPr>
          <w:rFonts w:hint="eastAsia" w:ascii="仿宋_GB2312" w:eastAsia="仿宋_GB2312" w:hAnsiTheme="minorEastAsia"/>
          <w:sz w:val="24"/>
          <w:szCs w:val="24"/>
        </w:rPr>
        <w:t>2.德、法、意、西语达到欧洲统一语言参考框架（CECRL）B2 级，韩语达到 TOPIK4 级。</w:t>
      </w:r>
    </w:p>
    <w:p w14:paraId="2AFCFE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hanging="8"/>
        <w:textAlignment w:val="auto"/>
        <w:rPr>
          <w:rFonts w:hint="default" w:ascii="仿宋_GB2312" w:eastAsia="仿宋_GB2312" w:hAnsiTheme="minorEastAsia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EastAsia"/>
          <w:sz w:val="24"/>
          <w:szCs w:val="24"/>
        </w:rPr>
        <w:t xml:space="preserve">   注：</w:t>
      </w:r>
      <w:r>
        <w:rPr>
          <w:rFonts w:hint="eastAsia" w:ascii="仿宋_GB2312" w:eastAsia="仿宋_GB2312" w:hAnsiTheme="minorEastAsia"/>
          <w:sz w:val="24"/>
          <w:szCs w:val="24"/>
          <w:lang w:val="en-US" w:eastAsia="zh-CN"/>
        </w:rPr>
        <w:t>1.</w:t>
      </w:r>
      <w:r>
        <w:rPr>
          <w:rFonts w:hint="eastAsia" w:ascii="仿宋_GB2312" w:eastAsia="仿宋_GB2312" w:hAnsiTheme="minorEastAsia"/>
          <w:sz w:val="24"/>
          <w:szCs w:val="24"/>
        </w:rPr>
        <w:t>如有其他未列入以上条例的情况，可经由学生提出申请，外国语学院大学外语部认定。</w:t>
      </w:r>
      <w:r>
        <w:rPr>
          <w:rFonts w:hint="eastAsia" w:ascii="仿宋_GB2312" w:eastAsia="仿宋_GB2312" w:hAnsiTheme="minorEastAsia"/>
          <w:sz w:val="24"/>
          <w:szCs w:val="24"/>
          <w:lang w:val="en-US" w:eastAsia="zh-CN"/>
        </w:rPr>
        <w:t>2.自2024级研究生开始执行。</w:t>
      </w:r>
    </w:p>
    <w:p w14:paraId="1833F911">
      <w:pPr>
        <w:pStyle w:val="10"/>
        <w:spacing w:line="240" w:lineRule="auto"/>
        <w:ind w:firstLine="0" w:firstLineChars="0"/>
        <w:rPr>
          <w:rFonts w:ascii="仿宋_GB2312" w:eastAsia="仿宋_GB2312" w:hAnsiTheme="minorEastAsia"/>
          <w:sz w:val="32"/>
          <w:szCs w:val="32"/>
        </w:rPr>
      </w:pPr>
    </w:p>
    <w:p w14:paraId="77DA8E78">
      <w:pPr>
        <w:jc w:val="center"/>
        <w:rPr>
          <w:rFonts w:hint="default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杭州师范大学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  <w:t>博士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研究生公共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  <w:t>英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语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  <w:t>免修条件</w:t>
      </w:r>
    </w:p>
    <w:p w14:paraId="5A2132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40" w:firstLineChars="100"/>
        <w:textAlignment w:val="auto"/>
        <w:rPr>
          <w:rFonts w:hint="eastAsia" w:ascii="仿宋_GB2312" w:eastAsia="仿宋_GB2312" w:hAnsiTheme="minorEastAsia"/>
          <w:sz w:val="24"/>
          <w:szCs w:val="24"/>
        </w:rPr>
      </w:pPr>
      <w:r>
        <w:rPr>
          <w:rFonts w:hint="eastAsia" w:ascii="仿宋_GB2312" w:eastAsia="仿宋_GB2312" w:hAnsiTheme="minorEastAsia"/>
          <w:sz w:val="24"/>
          <w:szCs w:val="24"/>
        </w:rPr>
        <w:t>1.参加TOEFL考试，成绩不低于80分。</w:t>
      </w:r>
    </w:p>
    <w:p w14:paraId="5D3680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40" w:firstLineChars="100"/>
        <w:textAlignment w:val="auto"/>
        <w:rPr>
          <w:rFonts w:hint="eastAsia" w:ascii="仿宋_GB2312" w:eastAsia="仿宋_GB2312" w:hAnsiTheme="minorEastAsia"/>
          <w:sz w:val="24"/>
          <w:szCs w:val="24"/>
        </w:rPr>
      </w:pPr>
      <w:r>
        <w:rPr>
          <w:rFonts w:hint="eastAsia" w:ascii="仿宋_GB2312" w:eastAsia="仿宋_GB2312" w:hAnsiTheme="minorEastAsia"/>
          <w:sz w:val="24"/>
          <w:szCs w:val="24"/>
        </w:rPr>
        <w:t>2.参加IELTS考试，成绩不低于6.5分。</w:t>
      </w:r>
    </w:p>
    <w:p w14:paraId="0514EF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40" w:firstLineChars="100"/>
        <w:textAlignment w:val="auto"/>
        <w:rPr>
          <w:rFonts w:hint="eastAsia" w:ascii="仿宋_GB2312" w:eastAsia="仿宋_GB2312" w:hAnsiTheme="minorEastAsia"/>
          <w:sz w:val="24"/>
          <w:szCs w:val="24"/>
        </w:rPr>
      </w:pPr>
      <w:r>
        <w:rPr>
          <w:rFonts w:hint="eastAsia" w:ascii="仿宋_GB2312" w:eastAsia="仿宋_GB2312" w:hAnsiTheme="minorEastAsia"/>
          <w:sz w:val="24"/>
          <w:szCs w:val="24"/>
        </w:rPr>
        <w:t>3.参加GRE考试，成绩不低于300分。</w:t>
      </w:r>
    </w:p>
    <w:p w14:paraId="572252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40" w:firstLineChars="100"/>
        <w:textAlignment w:val="auto"/>
        <w:rPr>
          <w:rFonts w:hint="eastAsia" w:ascii="仿宋_GB2312" w:eastAsia="仿宋_GB2312" w:hAnsiTheme="minorEastAsia"/>
          <w:sz w:val="24"/>
          <w:szCs w:val="24"/>
        </w:rPr>
      </w:pPr>
      <w:r>
        <w:rPr>
          <w:rFonts w:hint="eastAsia" w:ascii="仿宋_GB2312" w:eastAsia="仿宋_GB2312" w:hAnsiTheme="minorEastAsia"/>
          <w:sz w:val="24"/>
          <w:szCs w:val="24"/>
        </w:rPr>
        <w:t>4.全国大学英语六级考试（CET-6）成绩达到500分及以上。</w:t>
      </w:r>
    </w:p>
    <w:p w14:paraId="26F12E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40" w:firstLineChars="100"/>
        <w:textAlignment w:val="auto"/>
        <w:rPr>
          <w:rFonts w:hint="eastAsia" w:ascii="仿宋_GB2312" w:eastAsia="仿宋_GB2312" w:hAnsiTheme="minorEastAsia"/>
          <w:sz w:val="24"/>
          <w:szCs w:val="24"/>
        </w:rPr>
      </w:pPr>
      <w:r>
        <w:rPr>
          <w:rFonts w:hint="eastAsia" w:ascii="仿宋_GB2312" w:eastAsia="仿宋_GB2312" w:hAnsiTheme="minorEastAsia"/>
          <w:sz w:val="24"/>
          <w:szCs w:val="24"/>
        </w:rPr>
        <w:t>5.参加全国高校英语专业八级考试（TEM-8）成绩合格。</w:t>
      </w:r>
    </w:p>
    <w:p w14:paraId="74B65E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40" w:firstLineChars="100"/>
        <w:textAlignment w:val="auto"/>
        <w:rPr>
          <w:rFonts w:hint="eastAsia" w:ascii="仿宋_GB2312" w:eastAsia="仿宋_GB2312" w:hAnsiTheme="minorEastAsia"/>
          <w:sz w:val="24"/>
          <w:szCs w:val="24"/>
        </w:rPr>
      </w:pPr>
      <w:r>
        <w:rPr>
          <w:rFonts w:hint="eastAsia" w:ascii="仿宋_GB2312" w:eastAsia="仿宋_GB2312" w:hAnsiTheme="minorEastAsia"/>
          <w:sz w:val="24"/>
          <w:szCs w:val="24"/>
        </w:rPr>
        <w:t>6.在教育部认证的英语官方语言国家获得过学位，或在香港特别行政区或澳门特别行政区获得过学位。</w:t>
      </w:r>
    </w:p>
    <w:p w14:paraId="24C5B9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40" w:firstLineChars="100"/>
        <w:textAlignment w:val="auto"/>
        <w:rPr>
          <w:rFonts w:hint="eastAsia" w:ascii="仿宋_GB2312" w:eastAsia="仿宋_GB2312" w:hAnsiTheme="minorEastAsia"/>
          <w:sz w:val="24"/>
          <w:szCs w:val="24"/>
        </w:rPr>
      </w:pPr>
    </w:p>
    <w:p w14:paraId="64B8F88F">
      <w:pPr>
        <w:pStyle w:val="10"/>
        <w:spacing w:line="240" w:lineRule="auto"/>
        <w:ind w:firstLine="0" w:firstLineChars="0"/>
        <w:rPr>
          <w:rFonts w:ascii="仿宋_GB2312" w:eastAsia="仿宋_GB2312" w:hAnsiTheme="minorEastAsia"/>
          <w:sz w:val="32"/>
          <w:szCs w:val="32"/>
        </w:rPr>
      </w:pPr>
    </w:p>
    <w:sectPr>
      <w:pgSz w:w="11906" w:h="16838"/>
      <w:pgMar w:top="1440" w:right="128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Y1MjBiNzMwNDM0N2Y0OWM0MmZlMzU4ZGE1ZTZhYmMifQ=="/>
  </w:docVars>
  <w:rsids>
    <w:rsidRoot w:val="026DEA11"/>
    <w:rsid w:val="00754188"/>
    <w:rsid w:val="00BA3276"/>
    <w:rsid w:val="00EC2854"/>
    <w:rsid w:val="026DEA11"/>
    <w:rsid w:val="09EB3F4C"/>
    <w:rsid w:val="17F21F37"/>
    <w:rsid w:val="20B64A67"/>
    <w:rsid w:val="23231054"/>
    <w:rsid w:val="23992729"/>
    <w:rsid w:val="2AD97FFA"/>
    <w:rsid w:val="2EDA08AA"/>
    <w:rsid w:val="30857060"/>
    <w:rsid w:val="310956DB"/>
    <w:rsid w:val="43000F8E"/>
    <w:rsid w:val="4992622E"/>
    <w:rsid w:val="4DDA35CF"/>
    <w:rsid w:val="6498476A"/>
    <w:rsid w:val="64DD273F"/>
    <w:rsid w:val="6ACF2DE5"/>
    <w:rsid w:val="6EF40247"/>
    <w:rsid w:val="74292C71"/>
    <w:rsid w:val="75BACDA9"/>
    <w:rsid w:val="BFEF8450"/>
    <w:rsid w:val="EAB32CB0"/>
    <w:rsid w:val="F7FF5951"/>
    <w:rsid w:val="F7FF8AE8"/>
    <w:rsid w:val="FBD2F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uiPriority w:val="0"/>
    <w:pPr>
      <w:jc w:val="left"/>
    </w:pPr>
  </w:style>
  <w:style w:type="paragraph" w:styleId="3">
    <w:name w:val="Balloon Text"/>
    <w:basedOn w:val="1"/>
    <w:link w:val="15"/>
    <w:uiPriority w:val="0"/>
    <w:rPr>
      <w:sz w:val="18"/>
      <w:szCs w:val="18"/>
    </w:rPr>
  </w:style>
  <w:style w:type="paragraph" w:styleId="4">
    <w:name w:val="footer"/>
    <w:basedOn w:val="1"/>
    <w:link w:val="12"/>
    <w:autoRedefine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4"/>
    <w:qFormat/>
    <w:uiPriority w:val="0"/>
    <w:rPr>
      <w:b/>
      <w:bCs/>
    </w:rPr>
  </w:style>
  <w:style w:type="character" w:styleId="9">
    <w:name w:val="annotation reference"/>
    <w:basedOn w:val="8"/>
    <w:autoRedefine/>
    <w:qFormat/>
    <w:uiPriority w:val="0"/>
    <w:rPr>
      <w:sz w:val="21"/>
      <w:szCs w:val="21"/>
    </w:rPr>
  </w:style>
  <w:style w:type="paragraph" w:styleId="10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1">
    <w:name w:val="页眉 Char"/>
    <w:basedOn w:val="8"/>
    <w:link w:val="5"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2">
    <w:name w:val="页脚 Char"/>
    <w:basedOn w:val="8"/>
    <w:link w:val="4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3">
    <w:name w:val="批注文字 Char"/>
    <w:basedOn w:val="8"/>
    <w:link w:val="2"/>
    <w:qFormat/>
    <w:uiPriority w:val="0"/>
    <w:rPr>
      <w:rFonts w:ascii="Calibri" w:hAnsi="Calibri" w:eastAsia="宋体" w:cs="Times New Roman"/>
      <w:kern w:val="2"/>
      <w:sz w:val="21"/>
      <w:szCs w:val="22"/>
    </w:rPr>
  </w:style>
  <w:style w:type="character" w:customStyle="1" w:styleId="14">
    <w:name w:val="批注主题 Char"/>
    <w:basedOn w:val="13"/>
    <w:link w:val="6"/>
    <w:autoRedefine/>
    <w:uiPriority w:val="0"/>
    <w:rPr>
      <w:rFonts w:ascii="Calibri" w:hAnsi="Calibri" w:eastAsia="宋体" w:cs="Times New Roman"/>
      <w:b/>
      <w:bCs/>
      <w:kern w:val="2"/>
      <w:sz w:val="21"/>
      <w:szCs w:val="22"/>
    </w:rPr>
  </w:style>
  <w:style w:type="character" w:customStyle="1" w:styleId="15">
    <w:name w:val="批注框文本 Char"/>
    <w:basedOn w:val="8"/>
    <w:link w:val="3"/>
    <w:autoRedefine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738</Words>
  <Characters>829</Characters>
  <Lines>7</Lines>
  <Paragraphs>2</Paragraphs>
  <TotalTime>1</TotalTime>
  <ScaleCrop>false</ScaleCrop>
  <LinksUpToDate>false</LinksUpToDate>
  <CharactersWithSpaces>841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2023-11-23T16:38:00Z</dcterms:created>
  <dc:creator>Gly</dc:creator>
  <cp:lastModifiedBy>admin</cp:lastModifiedBy>
  <dcterms:modified xsi:type="dcterms:W3CDTF">2026-08-24T02:37:09Z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9E613C6AE4144963744D5D65EF53BACE_41</vt:lpwstr>
  </property>
  <property fmtid="{D5CDD505-2E9C-101B-9397-08002B2CF9AE}" pid="4" name="KSOTemplateDocerSaveRecord">
    <vt:lpwstr>eyJoZGlkIjoiNWY1MjBiNzMwNDM0N2Y0OWM0MmZlMzU4ZGE1ZTZhYmMifQ==</vt:lpwstr>
  </property>
</Properties>
</file>