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C568C">
      <w:pPr>
        <w:spacing w:line="560" w:lineRule="exact"/>
        <w:ind w:right="1120"/>
        <w:rPr>
          <w:rFonts w:ascii="仿宋_GB2312" w:hAnsi="宋体" w:eastAsia="仿宋_GB2312"/>
          <w:b/>
          <w:sz w:val="28"/>
          <w:szCs w:val="28"/>
        </w:rPr>
      </w:pPr>
      <w:bookmarkStart w:id="0" w:name="_GoBack"/>
      <w:bookmarkEnd w:id="0"/>
      <w:r>
        <w:rPr>
          <w:rFonts w:hint="eastAsia" w:ascii="仿宋_GB2312" w:hAnsi="宋体" w:eastAsia="仿宋_GB2312"/>
          <w:b/>
          <w:sz w:val="28"/>
          <w:szCs w:val="28"/>
        </w:rPr>
        <w:t>附件1</w:t>
      </w:r>
    </w:p>
    <w:p w14:paraId="5AEE82AC">
      <w:pPr>
        <w:jc w:val="center"/>
        <w:rPr>
          <w:rFonts w:ascii="方正小标宋简体" w:eastAsia="方正小标宋简体"/>
          <w:sz w:val="32"/>
          <w:szCs w:val="32"/>
        </w:rPr>
      </w:pPr>
      <w:r>
        <w:rPr>
          <w:rFonts w:hint="eastAsia" w:ascii="方正小标宋简体" w:eastAsia="方正小标宋简体"/>
          <w:sz w:val="32"/>
          <w:szCs w:val="32"/>
        </w:rPr>
        <w:t>2026年浙江省温岭中学公开招聘教师计划一览表</w:t>
      </w:r>
    </w:p>
    <w:tbl>
      <w:tblPr>
        <w:tblStyle w:val="9"/>
        <w:tblW w:w="8841" w:type="dxa"/>
        <w:tblInd w:w="-147" w:type="dxa"/>
        <w:tblLayout w:type="fixed"/>
        <w:tblCellMar>
          <w:top w:w="0" w:type="dxa"/>
          <w:left w:w="108" w:type="dxa"/>
          <w:bottom w:w="0" w:type="dxa"/>
          <w:right w:w="108" w:type="dxa"/>
        </w:tblCellMar>
      </w:tblPr>
      <w:tblGrid>
        <w:gridCol w:w="746"/>
        <w:gridCol w:w="1194"/>
        <w:gridCol w:w="746"/>
        <w:gridCol w:w="4705"/>
        <w:gridCol w:w="1450"/>
      </w:tblGrid>
      <w:tr w14:paraId="4ABAAE88">
        <w:tblPrEx>
          <w:tblCellMar>
            <w:top w:w="0" w:type="dxa"/>
            <w:left w:w="108" w:type="dxa"/>
            <w:bottom w:w="0" w:type="dxa"/>
            <w:right w:w="108" w:type="dxa"/>
          </w:tblCellMar>
        </w:tblPrEx>
        <w:trPr>
          <w:trHeight w:val="762"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E10C07C">
            <w:pPr>
              <w:widowControl/>
              <w:jc w:val="center"/>
              <w:rPr>
                <w:rFonts w:ascii="宋体" w:hAnsi="宋体" w:eastAsia="宋体" w:cs="宋体"/>
                <w:kern w:val="0"/>
                <w:szCs w:val="21"/>
              </w:rPr>
            </w:pPr>
            <w:r>
              <w:rPr>
                <w:rFonts w:hint="eastAsia" w:ascii="宋体" w:hAnsi="宋体" w:eastAsia="宋体" w:cs="宋体"/>
                <w:kern w:val="0"/>
                <w:szCs w:val="21"/>
              </w:rPr>
              <w:t>招聘序号</w:t>
            </w:r>
          </w:p>
        </w:tc>
        <w:tc>
          <w:tcPr>
            <w:tcW w:w="1194" w:type="dxa"/>
            <w:tcBorders>
              <w:top w:val="single" w:color="auto" w:sz="4" w:space="0"/>
              <w:left w:val="nil"/>
              <w:bottom w:val="single" w:color="auto" w:sz="4" w:space="0"/>
              <w:right w:val="single" w:color="auto" w:sz="4" w:space="0"/>
            </w:tcBorders>
            <w:shd w:val="clear" w:color="auto" w:fill="auto"/>
            <w:vAlign w:val="center"/>
          </w:tcPr>
          <w:p w14:paraId="6A9289EC">
            <w:pPr>
              <w:widowControl/>
              <w:jc w:val="center"/>
              <w:rPr>
                <w:rFonts w:ascii="宋体" w:hAnsi="宋体" w:eastAsia="宋体" w:cs="宋体"/>
                <w:kern w:val="0"/>
                <w:szCs w:val="21"/>
              </w:rPr>
            </w:pPr>
            <w:r>
              <w:rPr>
                <w:rFonts w:hint="eastAsia" w:ascii="宋体" w:hAnsi="宋体" w:eastAsia="宋体" w:cs="宋体"/>
                <w:kern w:val="0"/>
                <w:szCs w:val="21"/>
              </w:rPr>
              <w:t>招聘职位</w:t>
            </w:r>
          </w:p>
        </w:tc>
        <w:tc>
          <w:tcPr>
            <w:tcW w:w="746" w:type="dxa"/>
            <w:tcBorders>
              <w:top w:val="single" w:color="auto" w:sz="4" w:space="0"/>
              <w:left w:val="nil"/>
              <w:bottom w:val="single" w:color="auto" w:sz="4" w:space="0"/>
              <w:right w:val="single" w:color="auto" w:sz="4" w:space="0"/>
            </w:tcBorders>
            <w:shd w:val="clear" w:color="auto" w:fill="auto"/>
            <w:vAlign w:val="center"/>
          </w:tcPr>
          <w:p w14:paraId="66411AD4">
            <w:pPr>
              <w:widowControl/>
              <w:jc w:val="center"/>
              <w:rPr>
                <w:rFonts w:ascii="宋体" w:hAnsi="宋体" w:eastAsia="宋体" w:cs="宋体"/>
                <w:kern w:val="0"/>
                <w:szCs w:val="21"/>
              </w:rPr>
            </w:pPr>
            <w:r>
              <w:rPr>
                <w:rFonts w:hint="eastAsia" w:ascii="宋体" w:hAnsi="宋体" w:eastAsia="宋体" w:cs="宋体"/>
                <w:kern w:val="0"/>
                <w:szCs w:val="21"/>
              </w:rPr>
              <w:t>招聘人数</w:t>
            </w:r>
          </w:p>
        </w:tc>
        <w:tc>
          <w:tcPr>
            <w:tcW w:w="4705" w:type="dxa"/>
            <w:tcBorders>
              <w:top w:val="single" w:color="auto" w:sz="4" w:space="0"/>
              <w:left w:val="nil"/>
              <w:bottom w:val="single" w:color="auto" w:sz="4" w:space="0"/>
              <w:right w:val="single" w:color="auto" w:sz="4" w:space="0"/>
            </w:tcBorders>
            <w:shd w:val="clear" w:color="auto" w:fill="auto"/>
            <w:vAlign w:val="center"/>
          </w:tcPr>
          <w:p w14:paraId="682E25DA">
            <w:pPr>
              <w:widowControl/>
              <w:jc w:val="center"/>
              <w:rPr>
                <w:rFonts w:ascii="宋体" w:hAnsi="宋体" w:eastAsia="宋体" w:cs="宋体"/>
                <w:kern w:val="0"/>
                <w:szCs w:val="21"/>
              </w:rPr>
            </w:pPr>
            <w:r>
              <w:rPr>
                <w:rFonts w:hint="eastAsia" w:ascii="宋体" w:hAnsi="宋体" w:eastAsia="宋体" w:cs="宋体"/>
                <w:kern w:val="0"/>
                <w:szCs w:val="21"/>
              </w:rPr>
              <w:t>专业要求</w:t>
            </w:r>
          </w:p>
        </w:tc>
        <w:tc>
          <w:tcPr>
            <w:tcW w:w="1450" w:type="dxa"/>
            <w:tcBorders>
              <w:top w:val="single" w:color="auto" w:sz="4" w:space="0"/>
              <w:left w:val="nil"/>
              <w:bottom w:val="single" w:color="auto" w:sz="4" w:space="0"/>
              <w:right w:val="single" w:color="auto" w:sz="4" w:space="0"/>
            </w:tcBorders>
            <w:shd w:val="clear" w:color="auto" w:fill="auto"/>
            <w:vAlign w:val="center"/>
          </w:tcPr>
          <w:p w14:paraId="0424C1BB">
            <w:pPr>
              <w:widowControl/>
              <w:jc w:val="center"/>
              <w:rPr>
                <w:rFonts w:ascii="宋体" w:hAnsi="宋体" w:eastAsia="宋体" w:cs="宋体"/>
                <w:kern w:val="0"/>
                <w:szCs w:val="21"/>
              </w:rPr>
            </w:pPr>
            <w:r>
              <w:rPr>
                <w:rFonts w:hint="eastAsia" w:ascii="宋体" w:hAnsi="宋体" w:eastAsia="宋体" w:cs="宋体"/>
                <w:kern w:val="0"/>
                <w:szCs w:val="21"/>
              </w:rPr>
              <w:t>备注</w:t>
            </w:r>
          </w:p>
        </w:tc>
      </w:tr>
      <w:tr w14:paraId="1C7A17F5">
        <w:tblPrEx>
          <w:tblCellMar>
            <w:top w:w="0" w:type="dxa"/>
            <w:left w:w="108" w:type="dxa"/>
            <w:bottom w:w="0" w:type="dxa"/>
            <w:right w:w="108" w:type="dxa"/>
          </w:tblCellMar>
        </w:tblPrEx>
        <w:trPr>
          <w:trHeight w:val="1230"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1DB6828E">
            <w:pPr>
              <w:widowControl/>
              <w:jc w:val="center"/>
              <w:rPr>
                <w:rFonts w:ascii="宋体" w:hAnsi="宋体" w:eastAsia="宋体" w:cs="宋体"/>
                <w:kern w:val="0"/>
                <w:szCs w:val="21"/>
              </w:rPr>
            </w:pPr>
            <w:r>
              <w:rPr>
                <w:rFonts w:hint="eastAsia" w:ascii="宋体" w:hAnsi="宋体" w:eastAsia="宋体" w:cs="宋体"/>
                <w:kern w:val="0"/>
                <w:szCs w:val="21"/>
              </w:rPr>
              <w:t>A1</w:t>
            </w:r>
          </w:p>
        </w:tc>
        <w:tc>
          <w:tcPr>
            <w:tcW w:w="1194" w:type="dxa"/>
            <w:tcBorders>
              <w:top w:val="nil"/>
              <w:left w:val="nil"/>
              <w:bottom w:val="single" w:color="auto" w:sz="4" w:space="0"/>
              <w:right w:val="single" w:color="auto" w:sz="4" w:space="0"/>
            </w:tcBorders>
            <w:shd w:val="clear" w:color="auto" w:fill="auto"/>
            <w:vAlign w:val="center"/>
          </w:tcPr>
          <w:p w14:paraId="5E59F7CA">
            <w:pPr>
              <w:widowControl/>
              <w:jc w:val="center"/>
              <w:rPr>
                <w:rFonts w:ascii="宋体" w:hAnsi="宋体" w:eastAsia="宋体" w:cs="宋体"/>
                <w:kern w:val="0"/>
                <w:szCs w:val="21"/>
              </w:rPr>
            </w:pPr>
            <w:r>
              <w:rPr>
                <w:rFonts w:hint="eastAsia" w:ascii="宋体" w:hAnsi="宋体" w:eastAsia="宋体" w:cs="宋体"/>
                <w:kern w:val="0"/>
                <w:szCs w:val="21"/>
              </w:rPr>
              <w:t>高中语文教师</w:t>
            </w:r>
          </w:p>
        </w:tc>
        <w:tc>
          <w:tcPr>
            <w:tcW w:w="746" w:type="dxa"/>
            <w:tcBorders>
              <w:top w:val="nil"/>
              <w:left w:val="nil"/>
              <w:bottom w:val="single" w:color="auto" w:sz="4" w:space="0"/>
              <w:right w:val="single" w:color="auto" w:sz="4" w:space="0"/>
            </w:tcBorders>
            <w:shd w:val="clear" w:color="auto" w:fill="auto"/>
            <w:vAlign w:val="center"/>
          </w:tcPr>
          <w:p w14:paraId="4DD0F143">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4705" w:type="dxa"/>
            <w:tcBorders>
              <w:top w:val="nil"/>
              <w:left w:val="nil"/>
              <w:bottom w:val="single" w:color="auto" w:sz="4" w:space="0"/>
              <w:right w:val="single" w:color="auto" w:sz="4" w:space="0"/>
            </w:tcBorders>
            <w:shd w:val="clear" w:color="auto" w:fill="auto"/>
            <w:vAlign w:val="center"/>
          </w:tcPr>
          <w:p w14:paraId="7FC274CD">
            <w:pPr>
              <w:widowControl/>
              <w:jc w:val="left"/>
              <w:rPr>
                <w:rFonts w:ascii="宋体" w:hAnsi="宋体" w:eastAsia="宋体" w:cs="宋体"/>
                <w:kern w:val="0"/>
                <w:szCs w:val="21"/>
              </w:rPr>
            </w:pPr>
            <w:r>
              <w:rPr>
                <w:rFonts w:hint="eastAsia" w:ascii="宋体" w:hAnsi="宋体" w:eastAsia="宋体" w:cs="宋体"/>
                <w:b/>
                <w:bCs/>
                <w:kern w:val="0"/>
                <w:szCs w:val="21"/>
              </w:rPr>
              <w:t>研究生：</w:t>
            </w:r>
            <w:r>
              <w:rPr>
                <w:rFonts w:hint="eastAsia" w:ascii="宋体" w:hAnsi="宋体" w:eastAsia="宋体" w:cs="宋体"/>
                <w:kern w:val="0"/>
                <w:szCs w:val="21"/>
              </w:rPr>
              <w:t>中国语言文学（一级学科）、新闻传播学（一级学科）、国际汉语教育、国际中文教育、课程与教学论、学科教学(语文)</w:t>
            </w:r>
          </w:p>
          <w:p w14:paraId="132E191E">
            <w:pPr>
              <w:widowControl/>
              <w:jc w:val="left"/>
              <w:rPr>
                <w:rFonts w:ascii="宋体" w:hAnsi="宋体" w:eastAsia="宋体" w:cs="宋体"/>
                <w:kern w:val="0"/>
                <w:szCs w:val="21"/>
              </w:rPr>
            </w:pPr>
            <w:r>
              <w:rPr>
                <w:rFonts w:hint="eastAsia" w:ascii="宋体" w:hAnsi="宋体" w:eastAsia="宋体" w:cs="宋体"/>
                <w:b/>
                <w:bCs/>
                <w:kern w:val="0"/>
                <w:szCs w:val="21"/>
              </w:rPr>
              <w:t>本科：</w:t>
            </w:r>
            <w:r>
              <w:rPr>
                <w:rFonts w:hint="eastAsia" w:ascii="宋体" w:hAnsi="宋体" w:eastAsia="宋体" w:cs="宋体"/>
                <w:kern w:val="0"/>
                <w:szCs w:val="21"/>
              </w:rPr>
              <w:t>中国语言文学类、新闻传播学类</w:t>
            </w:r>
          </w:p>
        </w:tc>
        <w:tc>
          <w:tcPr>
            <w:tcW w:w="1450" w:type="dxa"/>
            <w:vMerge w:val="restart"/>
            <w:tcBorders>
              <w:top w:val="nil"/>
              <w:left w:val="nil"/>
              <w:right w:val="single" w:color="auto" w:sz="4" w:space="0"/>
            </w:tcBorders>
            <w:shd w:val="clear" w:color="auto" w:fill="auto"/>
            <w:vAlign w:val="center"/>
          </w:tcPr>
          <w:p w14:paraId="12EAB12F">
            <w:pPr>
              <w:widowControl/>
              <w:jc w:val="left"/>
              <w:rPr>
                <w:rFonts w:ascii="宋体" w:hAnsi="宋体" w:eastAsia="宋体" w:cs="宋体"/>
                <w:b/>
                <w:bCs/>
                <w:kern w:val="0"/>
                <w:szCs w:val="21"/>
              </w:rPr>
            </w:pPr>
          </w:p>
        </w:tc>
      </w:tr>
      <w:tr w14:paraId="648CA255">
        <w:tblPrEx>
          <w:tblCellMar>
            <w:top w:w="0" w:type="dxa"/>
            <w:left w:w="108" w:type="dxa"/>
            <w:bottom w:w="0" w:type="dxa"/>
            <w:right w:w="108" w:type="dxa"/>
          </w:tblCellMar>
        </w:tblPrEx>
        <w:trPr>
          <w:trHeight w:val="2574"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26EA7A22">
            <w:pPr>
              <w:widowControl/>
              <w:jc w:val="center"/>
              <w:rPr>
                <w:rFonts w:ascii="宋体" w:hAnsi="宋体" w:eastAsia="宋体" w:cs="宋体"/>
                <w:kern w:val="0"/>
                <w:szCs w:val="21"/>
              </w:rPr>
            </w:pPr>
            <w:r>
              <w:rPr>
                <w:rFonts w:hint="eastAsia" w:ascii="宋体" w:hAnsi="宋体" w:eastAsia="宋体" w:cs="宋体"/>
                <w:kern w:val="0"/>
                <w:szCs w:val="21"/>
              </w:rPr>
              <w:t>A2</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0523268D">
            <w:pPr>
              <w:widowControl/>
              <w:jc w:val="center"/>
              <w:rPr>
                <w:rFonts w:ascii="宋体" w:hAnsi="宋体" w:eastAsia="宋体" w:cs="宋体"/>
                <w:kern w:val="0"/>
                <w:szCs w:val="21"/>
              </w:rPr>
            </w:pPr>
            <w:r>
              <w:rPr>
                <w:rFonts w:hint="eastAsia" w:ascii="宋体" w:hAnsi="宋体" w:eastAsia="宋体" w:cs="宋体"/>
                <w:kern w:val="0"/>
                <w:szCs w:val="21"/>
              </w:rPr>
              <w:t>高中物理教师</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9E4AA">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5ADA7318">
            <w:pPr>
              <w:widowControl/>
              <w:jc w:val="left"/>
              <w:rPr>
                <w:rFonts w:ascii="宋体" w:hAnsi="宋体" w:eastAsia="宋体" w:cs="宋体"/>
                <w:kern w:val="0"/>
                <w:szCs w:val="21"/>
              </w:rPr>
            </w:pPr>
            <w:r>
              <w:rPr>
                <w:rFonts w:hint="eastAsia" w:ascii="宋体" w:hAnsi="宋体" w:eastAsia="宋体" w:cs="宋体"/>
                <w:b/>
                <w:bCs/>
                <w:kern w:val="0"/>
                <w:szCs w:val="21"/>
              </w:rPr>
              <w:t>研究生：</w:t>
            </w:r>
            <w:r>
              <w:rPr>
                <w:rFonts w:hint="eastAsia" w:ascii="宋体" w:hAnsi="宋体" w:eastAsia="宋体" w:cs="宋体"/>
                <w:kern w:val="0"/>
                <w:szCs w:val="21"/>
              </w:rPr>
              <w:t>物理学（一级学科）、地球物理学（一级学科）、力学（一级学科）、天文学（一级学科）、光学工程（一级学科）、电子科学与技术（一级学科）、电气工程（一级学科）、机械工程（一级学科）、学科教学（物理）、课程与教学论</w:t>
            </w:r>
          </w:p>
          <w:p w14:paraId="0BABD853">
            <w:pPr>
              <w:widowControl/>
              <w:jc w:val="left"/>
              <w:rPr>
                <w:rFonts w:ascii="宋体" w:hAnsi="宋体" w:eastAsia="宋体" w:cs="宋体"/>
                <w:kern w:val="0"/>
                <w:szCs w:val="21"/>
              </w:rPr>
            </w:pPr>
            <w:r>
              <w:rPr>
                <w:rFonts w:hint="eastAsia" w:ascii="宋体" w:hAnsi="宋体" w:eastAsia="宋体" w:cs="宋体"/>
                <w:b/>
                <w:bCs/>
                <w:kern w:val="0"/>
                <w:szCs w:val="21"/>
              </w:rPr>
              <w:t>本科：</w:t>
            </w:r>
            <w:r>
              <w:rPr>
                <w:rFonts w:hint="eastAsia" w:ascii="宋体" w:hAnsi="宋体" w:eastAsia="宋体" w:cs="宋体"/>
                <w:kern w:val="0"/>
                <w:szCs w:val="21"/>
              </w:rPr>
              <w:t>物理学类、地球物理学类、力学类、电子信息类、电气类、自动化类、机械类</w:t>
            </w:r>
          </w:p>
        </w:tc>
        <w:tc>
          <w:tcPr>
            <w:tcW w:w="1450" w:type="dxa"/>
            <w:vMerge w:val="continue"/>
            <w:tcBorders>
              <w:left w:val="nil"/>
              <w:bottom w:val="single" w:color="auto" w:sz="4" w:space="0"/>
              <w:right w:val="single" w:color="auto" w:sz="4" w:space="0"/>
            </w:tcBorders>
            <w:shd w:val="clear" w:color="auto" w:fill="auto"/>
            <w:vAlign w:val="center"/>
          </w:tcPr>
          <w:p w14:paraId="0A5434D3">
            <w:pPr>
              <w:widowControl/>
              <w:jc w:val="left"/>
              <w:rPr>
                <w:rFonts w:ascii="宋体" w:hAnsi="宋体" w:eastAsia="宋体" w:cs="宋体"/>
                <w:b/>
                <w:bCs/>
                <w:kern w:val="0"/>
                <w:szCs w:val="21"/>
              </w:rPr>
            </w:pPr>
          </w:p>
        </w:tc>
      </w:tr>
      <w:tr w14:paraId="495602EC">
        <w:tblPrEx>
          <w:tblCellMar>
            <w:top w:w="0" w:type="dxa"/>
            <w:left w:w="108" w:type="dxa"/>
            <w:bottom w:w="0" w:type="dxa"/>
            <w:right w:w="108" w:type="dxa"/>
          </w:tblCellMar>
        </w:tblPrEx>
        <w:trPr>
          <w:trHeight w:val="1739"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460AD550">
            <w:pPr>
              <w:widowControl/>
              <w:jc w:val="center"/>
              <w:rPr>
                <w:rFonts w:ascii="宋体" w:hAnsi="宋体" w:eastAsia="宋体" w:cs="宋体"/>
                <w:kern w:val="0"/>
                <w:szCs w:val="21"/>
              </w:rPr>
            </w:pPr>
            <w:r>
              <w:rPr>
                <w:rFonts w:hint="eastAsia" w:ascii="宋体" w:hAnsi="宋体" w:eastAsia="宋体" w:cs="宋体"/>
                <w:kern w:val="0"/>
                <w:szCs w:val="21"/>
              </w:rPr>
              <w:t>A3</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5759F2D">
            <w:pPr>
              <w:widowControl/>
              <w:jc w:val="center"/>
              <w:rPr>
                <w:rFonts w:ascii="宋体" w:hAnsi="宋体" w:eastAsia="宋体" w:cs="宋体"/>
                <w:kern w:val="0"/>
                <w:szCs w:val="21"/>
              </w:rPr>
            </w:pPr>
            <w:r>
              <w:rPr>
                <w:rFonts w:hint="eastAsia" w:ascii="宋体" w:hAnsi="宋体" w:eastAsia="宋体" w:cs="宋体"/>
                <w:kern w:val="0"/>
                <w:szCs w:val="21"/>
              </w:rPr>
              <w:t>高中数学竞赛教师</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94A36">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523A888C">
            <w:pPr>
              <w:jc w:val="left"/>
              <w:rPr>
                <w:rFonts w:ascii="宋体" w:hAnsi="宋体" w:eastAsia="宋体" w:cs="宋体"/>
                <w:kern w:val="0"/>
                <w:szCs w:val="21"/>
              </w:rPr>
            </w:pPr>
            <w:r>
              <w:rPr>
                <w:rFonts w:hint="eastAsia" w:ascii="宋体" w:hAnsi="宋体" w:eastAsia="宋体" w:cs="宋体"/>
                <w:b/>
                <w:bCs/>
                <w:kern w:val="0"/>
                <w:szCs w:val="21"/>
              </w:rPr>
              <w:t>研究生：</w:t>
            </w:r>
            <w:r>
              <w:rPr>
                <w:rFonts w:hint="eastAsia" w:ascii="宋体" w:hAnsi="宋体" w:eastAsia="宋体" w:cs="宋体"/>
                <w:kern w:val="0"/>
                <w:szCs w:val="21"/>
              </w:rPr>
              <w:t>数学（一级学科）、统计学、应用统计、学科教学（数学）、课程与教学论</w:t>
            </w:r>
          </w:p>
          <w:p w14:paraId="43C65AB0">
            <w:pPr>
              <w:jc w:val="left"/>
              <w:rPr>
                <w:rFonts w:ascii="宋体" w:hAnsi="宋体" w:eastAsia="宋体" w:cs="宋体"/>
                <w:kern w:val="0"/>
                <w:szCs w:val="21"/>
              </w:rPr>
            </w:pPr>
            <w:r>
              <w:rPr>
                <w:rFonts w:hint="eastAsia" w:ascii="宋体" w:hAnsi="宋体" w:eastAsia="宋体" w:cs="宋体"/>
                <w:b/>
                <w:bCs/>
                <w:kern w:val="0"/>
                <w:szCs w:val="21"/>
              </w:rPr>
              <w:t>本科：</w:t>
            </w:r>
            <w:r>
              <w:rPr>
                <w:rFonts w:hint="eastAsia" w:ascii="宋体" w:hAnsi="宋体" w:eastAsia="宋体" w:cs="宋体"/>
                <w:kern w:val="0"/>
                <w:szCs w:val="21"/>
              </w:rPr>
              <w:t>数学类、统计学、应用统计学</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648D7D88">
            <w:pPr>
              <w:jc w:val="left"/>
              <w:rPr>
                <w:rFonts w:ascii="宋体" w:hAnsi="宋体" w:eastAsia="宋体" w:cs="宋体"/>
                <w:b/>
                <w:bCs/>
                <w:kern w:val="0"/>
                <w:szCs w:val="21"/>
              </w:rPr>
            </w:pPr>
            <w:r>
              <w:rPr>
                <w:rFonts w:hint="eastAsia" w:ascii="宋体" w:hAnsi="宋体" w:eastAsia="宋体" w:cs="宋体"/>
                <w:kern w:val="0"/>
                <w:szCs w:val="21"/>
              </w:rPr>
              <w:t>高中阶段曾获得相应学科全国高中联赛省赛区二等奖及以上成绩的报考人员可不限专业，其竞赛获奖学科须与报名职位一致。</w:t>
            </w:r>
          </w:p>
        </w:tc>
      </w:tr>
      <w:tr w14:paraId="3554F08B">
        <w:tblPrEx>
          <w:tblCellMar>
            <w:top w:w="0" w:type="dxa"/>
            <w:left w:w="108" w:type="dxa"/>
            <w:bottom w:w="0" w:type="dxa"/>
            <w:right w:w="108" w:type="dxa"/>
          </w:tblCellMar>
        </w:tblPrEx>
        <w:trPr>
          <w:trHeight w:val="2049" w:hRule="atLeast"/>
        </w:trPr>
        <w:tc>
          <w:tcPr>
            <w:tcW w:w="746" w:type="dxa"/>
            <w:tcBorders>
              <w:top w:val="nil"/>
              <w:left w:val="single" w:color="auto" w:sz="4" w:space="0"/>
              <w:bottom w:val="single" w:color="auto" w:sz="4" w:space="0"/>
              <w:right w:val="single" w:color="auto" w:sz="4" w:space="0"/>
            </w:tcBorders>
            <w:shd w:val="clear" w:color="auto" w:fill="auto"/>
            <w:noWrap/>
            <w:vAlign w:val="center"/>
          </w:tcPr>
          <w:p w14:paraId="7D8782AA">
            <w:pPr>
              <w:widowControl/>
              <w:jc w:val="center"/>
              <w:rPr>
                <w:rFonts w:ascii="宋体" w:hAnsi="宋体" w:eastAsia="宋体" w:cs="宋体"/>
                <w:kern w:val="0"/>
                <w:szCs w:val="21"/>
              </w:rPr>
            </w:pPr>
            <w:r>
              <w:rPr>
                <w:rFonts w:hint="eastAsia" w:ascii="宋体" w:hAnsi="宋体" w:eastAsia="宋体" w:cs="宋体"/>
                <w:kern w:val="0"/>
                <w:szCs w:val="21"/>
              </w:rPr>
              <w:t>A4</w:t>
            </w:r>
          </w:p>
        </w:tc>
        <w:tc>
          <w:tcPr>
            <w:tcW w:w="1194" w:type="dxa"/>
            <w:tcBorders>
              <w:top w:val="nil"/>
              <w:left w:val="nil"/>
              <w:bottom w:val="single" w:color="auto" w:sz="4" w:space="0"/>
              <w:right w:val="single" w:color="auto" w:sz="4" w:space="0"/>
            </w:tcBorders>
            <w:shd w:val="clear" w:color="auto" w:fill="auto"/>
            <w:vAlign w:val="center"/>
          </w:tcPr>
          <w:p w14:paraId="73932C9C">
            <w:pPr>
              <w:widowControl/>
              <w:jc w:val="center"/>
              <w:rPr>
                <w:rFonts w:ascii="宋体" w:hAnsi="宋体" w:eastAsia="宋体" w:cs="宋体"/>
                <w:kern w:val="0"/>
                <w:szCs w:val="21"/>
              </w:rPr>
            </w:pPr>
            <w:r>
              <w:rPr>
                <w:rFonts w:hint="eastAsia" w:ascii="宋体" w:hAnsi="宋体" w:eastAsia="宋体" w:cs="宋体"/>
                <w:kern w:val="0"/>
                <w:szCs w:val="21"/>
              </w:rPr>
              <w:t>高中化学竞赛教师</w:t>
            </w:r>
          </w:p>
        </w:tc>
        <w:tc>
          <w:tcPr>
            <w:tcW w:w="746" w:type="dxa"/>
            <w:tcBorders>
              <w:top w:val="nil"/>
              <w:left w:val="nil"/>
              <w:bottom w:val="single" w:color="auto" w:sz="4" w:space="0"/>
              <w:right w:val="single" w:color="auto" w:sz="4" w:space="0"/>
            </w:tcBorders>
            <w:shd w:val="clear" w:color="auto" w:fill="auto"/>
            <w:vAlign w:val="center"/>
          </w:tcPr>
          <w:p w14:paraId="4ACD3726">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4705" w:type="dxa"/>
            <w:tcBorders>
              <w:left w:val="nil"/>
              <w:bottom w:val="single" w:color="auto" w:sz="4" w:space="0"/>
              <w:right w:val="single" w:color="auto" w:sz="4" w:space="0"/>
            </w:tcBorders>
            <w:shd w:val="clear" w:color="auto" w:fill="auto"/>
            <w:vAlign w:val="center"/>
          </w:tcPr>
          <w:p w14:paraId="0E38B8AB">
            <w:pPr>
              <w:widowControl/>
              <w:jc w:val="left"/>
              <w:rPr>
                <w:rFonts w:ascii="宋体" w:hAnsi="宋体" w:eastAsia="宋体" w:cs="宋体"/>
                <w:kern w:val="0"/>
                <w:szCs w:val="21"/>
              </w:rPr>
            </w:pPr>
            <w:r>
              <w:rPr>
                <w:rFonts w:hint="eastAsia" w:ascii="宋体" w:hAnsi="宋体" w:eastAsia="宋体" w:cs="宋体"/>
                <w:b/>
                <w:bCs/>
                <w:kern w:val="0"/>
                <w:szCs w:val="21"/>
              </w:rPr>
              <w:t>研究生：</w:t>
            </w:r>
            <w:r>
              <w:rPr>
                <w:rFonts w:hint="eastAsia" w:ascii="宋体" w:hAnsi="宋体" w:eastAsia="宋体" w:cs="宋体"/>
                <w:kern w:val="0"/>
                <w:szCs w:val="21"/>
              </w:rPr>
              <w:t>化学（一级学科）、材料科学与工程（一级学科）、化学工程与技术（一级学科）、药学（一级学科）、课程与教学论、学科教学（化学）</w:t>
            </w:r>
          </w:p>
          <w:p w14:paraId="32D4D3F5">
            <w:pPr>
              <w:widowControl/>
              <w:jc w:val="left"/>
              <w:rPr>
                <w:rFonts w:ascii="宋体" w:hAnsi="宋体" w:eastAsia="宋体" w:cs="宋体"/>
                <w:kern w:val="0"/>
                <w:szCs w:val="21"/>
              </w:rPr>
            </w:pPr>
            <w:r>
              <w:rPr>
                <w:rFonts w:hint="eastAsia" w:ascii="宋体" w:hAnsi="宋体" w:eastAsia="宋体" w:cs="宋体"/>
                <w:b/>
                <w:bCs/>
                <w:kern w:val="0"/>
                <w:szCs w:val="21"/>
              </w:rPr>
              <w:t>本科：</w:t>
            </w:r>
            <w:r>
              <w:rPr>
                <w:rFonts w:hint="eastAsia" w:ascii="宋体" w:hAnsi="宋体" w:eastAsia="宋体" w:cs="宋体"/>
                <w:kern w:val="0"/>
                <w:szCs w:val="21"/>
              </w:rPr>
              <w:t>化学类、化工与制药类、药学类</w:t>
            </w: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717C15FD">
            <w:pPr>
              <w:widowControl/>
              <w:jc w:val="left"/>
              <w:rPr>
                <w:rFonts w:ascii="宋体" w:hAnsi="宋体" w:eastAsia="宋体" w:cs="宋体"/>
                <w:b/>
                <w:bCs/>
                <w:kern w:val="0"/>
                <w:szCs w:val="21"/>
              </w:rPr>
            </w:pPr>
          </w:p>
        </w:tc>
      </w:tr>
    </w:tbl>
    <w:p w14:paraId="51828C4C">
      <w:pPr>
        <w:snapToGrid w:val="0"/>
        <w:rPr>
          <w:rFonts w:ascii="方正小标宋简体" w:eastAsia="方正小标宋简体"/>
          <w:sz w:val="24"/>
          <w:szCs w:val="24"/>
        </w:rPr>
      </w:pPr>
    </w:p>
    <w:p w14:paraId="74CF491F">
      <w:pPr>
        <w:spacing w:line="560" w:lineRule="exact"/>
        <w:ind w:right="1120"/>
        <w:rPr>
          <w:rFonts w:ascii="仿宋_GB2312" w:hAnsi="宋体" w:eastAsia="仿宋_GB2312"/>
          <w:b/>
          <w:sz w:val="28"/>
          <w:szCs w:val="28"/>
        </w:rPr>
      </w:pPr>
    </w:p>
    <w:p w14:paraId="4AECF70F">
      <w:pPr>
        <w:spacing w:line="560" w:lineRule="exact"/>
        <w:ind w:right="1120"/>
        <w:rPr>
          <w:rFonts w:ascii="仿宋_GB2312" w:hAnsi="宋体" w:eastAsia="仿宋_GB2312"/>
          <w:b/>
          <w:sz w:val="28"/>
          <w:szCs w:val="28"/>
        </w:rPr>
      </w:pPr>
    </w:p>
    <w:p w14:paraId="37FF1F4D">
      <w:pPr>
        <w:spacing w:line="560" w:lineRule="exact"/>
        <w:ind w:right="1120"/>
        <w:rPr>
          <w:rFonts w:ascii="仿宋_GB2312" w:hAnsi="宋体" w:eastAsia="仿宋_GB2312"/>
          <w:b/>
          <w:sz w:val="28"/>
          <w:szCs w:val="28"/>
        </w:rPr>
      </w:pPr>
    </w:p>
    <w:p w14:paraId="3CD0917E">
      <w:pPr>
        <w:spacing w:line="560" w:lineRule="exact"/>
        <w:ind w:right="1120"/>
        <w:rPr>
          <w:rFonts w:ascii="仿宋_GB2312" w:hAnsi="宋体" w:eastAsia="仿宋_GB2312"/>
          <w:b/>
          <w:sz w:val="28"/>
          <w:szCs w:val="28"/>
        </w:rPr>
      </w:pPr>
    </w:p>
    <w:p w14:paraId="7BF8BDE7">
      <w:pPr>
        <w:spacing w:line="560" w:lineRule="exact"/>
        <w:ind w:right="1120"/>
        <w:rPr>
          <w:rFonts w:ascii="仿宋_GB2312" w:hAnsi="宋体" w:eastAsia="仿宋_GB2312"/>
          <w:b/>
          <w:sz w:val="28"/>
          <w:szCs w:val="28"/>
        </w:rPr>
      </w:pPr>
    </w:p>
    <w:p w14:paraId="07EC5BA8">
      <w:pPr>
        <w:spacing w:line="560" w:lineRule="exact"/>
        <w:ind w:right="1120"/>
        <w:rPr>
          <w:rFonts w:ascii="仿宋_GB2312" w:hAnsi="宋体" w:eastAsia="仿宋_GB2312"/>
          <w:b/>
          <w:sz w:val="28"/>
          <w:szCs w:val="28"/>
        </w:rPr>
      </w:pPr>
    </w:p>
    <w:p w14:paraId="0F51245E">
      <w:pPr>
        <w:spacing w:line="560" w:lineRule="exact"/>
        <w:ind w:right="1120"/>
        <w:rPr>
          <w:rFonts w:ascii="仿宋_GB2312" w:hAnsi="宋体" w:eastAsia="仿宋_GB2312"/>
          <w:b/>
          <w:sz w:val="28"/>
          <w:szCs w:val="28"/>
        </w:rPr>
      </w:pPr>
    </w:p>
    <w:sectPr>
      <w:footerReference r:id="rId3" w:type="default"/>
      <w:pgSz w:w="11906" w:h="16838"/>
      <w:pgMar w:top="1021" w:right="1588" w:bottom="102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8EF1A1BF-21D4-414B-8865-0986C8301D2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29A07B84-263A-473A-A38E-43112988D19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9C14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4E2A7">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534E2A7">
                    <w:r>
                      <w:fldChar w:fldCharType="begin"/>
                    </w:r>
                    <w:r>
                      <w:instrText xml:space="preserve"> PAGE  \* MERGEFORMAT </w:instrText>
                    </w:r>
                    <w:r>
                      <w:fldChar w:fldCharType="separate"/>
                    </w:r>
                    <w:r>
                      <w:t>1</w:t>
                    </w:r>
                    <w:r>
                      <w:fldChar w:fldCharType="end"/>
                    </w:r>
                  </w:p>
                </w:txbxContent>
              </v:textbox>
            </v:shape>
          </w:pict>
        </mc:Fallback>
      </mc:AlternateContent>
    </w:r>
    <w:sdt>
      <w:sdtPr>
        <w:id w:val="1587576683"/>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jNGZjMzlhNjM5MGI0ZmY0YzkxNGI3MjU2NDI0YTkifQ=="/>
  </w:docVars>
  <w:rsids>
    <w:rsidRoot w:val="00011224"/>
    <w:rsid w:val="00006B58"/>
    <w:rsid w:val="00011224"/>
    <w:rsid w:val="000B732C"/>
    <w:rsid w:val="000C34C6"/>
    <w:rsid w:val="000C7F74"/>
    <w:rsid w:val="00193352"/>
    <w:rsid w:val="001944E7"/>
    <w:rsid w:val="001C0889"/>
    <w:rsid w:val="001E5F5F"/>
    <w:rsid w:val="001E7B3D"/>
    <w:rsid w:val="002149E7"/>
    <w:rsid w:val="002155DB"/>
    <w:rsid w:val="00350B6C"/>
    <w:rsid w:val="003918EC"/>
    <w:rsid w:val="003C7C05"/>
    <w:rsid w:val="003D1EAA"/>
    <w:rsid w:val="00440BD9"/>
    <w:rsid w:val="0044607A"/>
    <w:rsid w:val="004550F4"/>
    <w:rsid w:val="00457964"/>
    <w:rsid w:val="004C2C2B"/>
    <w:rsid w:val="004E1940"/>
    <w:rsid w:val="004F5905"/>
    <w:rsid w:val="00515FD4"/>
    <w:rsid w:val="00573ADA"/>
    <w:rsid w:val="0057467B"/>
    <w:rsid w:val="005B4B43"/>
    <w:rsid w:val="005C2B8C"/>
    <w:rsid w:val="005E1BDB"/>
    <w:rsid w:val="00607262"/>
    <w:rsid w:val="006418DA"/>
    <w:rsid w:val="006421B3"/>
    <w:rsid w:val="00653686"/>
    <w:rsid w:val="00654B83"/>
    <w:rsid w:val="00657688"/>
    <w:rsid w:val="00673977"/>
    <w:rsid w:val="00677E3E"/>
    <w:rsid w:val="00693C78"/>
    <w:rsid w:val="006A4ECB"/>
    <w:rsid w:val="006E6BD6"/>
    <w:rsid w:val="006F2338"/>
    <w:rsid w:val="00712D94"/>
    <w:rsid w:val="00790CAF"/>
    <w:rsid w:val="007C3CA3"/>
    <w:rsid w:val="007D2EBD"/>
    <w:rsid w:val="007D64EC"/>
    <w:rsid w:val="007E3F02"/>
    <w:rsid w:val="007E7F0A"/>
    <w:rsid w:val="00823D12"/>
    <w:rsid w:val="0082543F"/>
    <w:rsid w:val="00884647"/>
    <w:rsid w:val="00913EAD"/>
    <w:rsid w:val="00935717"/>
    <w:rsid w:val="009419C7"/>
    <w:rsid w:val="009445CD"/>
    <w:rsid w:val="00972F59"/>
    <w:rsid w:val="009C662B"/>
    <w:rsid w:val="009F3B37"/>
    <w:rsid w:val="00A43AAD"/>
    <w:rsid w:val="00A60A0B"/>
    <w:rsid w:val="00A70444"/>
    <w:rsid w:val="00AB0CEA"/>
    <w:rsid w:val="00AB66D3"/>
    <w:rsid w:val="00B021F4"/>
    <w:rsid w:val="00B12583"/>
    <w:rsid w:val="00B37249"/>
    <w:rsid w:val="00B478E2"/>
    <w:rsid w:val="00B54D84"/>
    <w:rsid w:val="00BF6CEF"/>
    <w:rsid w:val="00C05087"/>
    <w:rsid w:val="00CA641A"/>
    <w:rsid w:val="00CA77C5"/>
    <w:rsid w:val="00CB4CC9"/>
    <w:rsid w:val="00CC3E0A"/>
    <w:rsid w:val="00CD2538"/>
    <w:rsid w:val="00CD70C1"/>
    <w:rsid w:val="00CE68BE"/>
    <w:rsid w:val="00CF7493"/>
    <w:rsid w:val="00CF7AB8"/>
    <w:rsid w:val="00D15E06"/>
    <w:rsid w:val="00D45030"/>
    <w:rsid w:val="00DC4DB5"/>
    <w:rsid w:val="00DD7192"/>
    <w:rsid w:val="00E2639A"/>
    <w:rsid w:val="00E4293D"/>
    <w:rsid w:val="00E73723"/>
    <w:rsid w:val="00E769E9"/>
    <w:rsid w:val="00EC5B3C"/>
    <w:rsid w:val="00EE5CE6"/>
    <w:rsid w:val="00F257EF"/>
    <w:rsid w:val="00F262BB"/>
    <w:rsid w:val="00F7324A"/>
    <w:rsid w:val="00FF28E4"/>
    <w:rsid w:val="00FF5BDC"/>
    <w:rsid w:val="00FF72C5"/>
    <w:rsid w:val="018D7D73"/>
    <w:rsid w:val="04A42127"/>
    <w:rsid w:val="0BA6E487"/>
    <w:rsid w:val="0C0F69F6"/>
    <w:rsid w:val="0E3A1E3C"/>
    <w:rsid w:val="162178AD"/>
    <w:rsid w:val="16874E56"/>
    <w:rsid w:val="19500872"/>
    <w:rsid w:val="1A6E76E0"/>
    <w:rsid w:val="1FBE3CFD"/>
    <w:rsid w:val="1FF7DFB5"/>
    <w:rsid w:val="210A7EF9"/>
    <w:rsid w:val="23915859"/>
    <w:rsid w:val="25375912"/>
    <w:rsid w:val="2BD9775C"/>
    <w:rsid w:val="2E446850"/>
    <w:rsid w:val="2FFFCCF3"/>
    <w:rsid w:val="30AA08EF"/>
    <w:rsid w:val="30C43C3A"/>
    <w:rsid w:val="34D83195"/>
    <w:rsid w:val="397F41CC"/>
    <w:rsid w:val="3BBF69E8"/>
    <w:rsid w:val="3C3FFD16"/>
    <w:rsid w:val="3C521BB9"/>
    <w:rsid w:val="3D7F7B9A"/>
    <w:rsid w:val="3D9FF045"/>
    <w:rsid w:val="3EF51347"/>
    <w:rsid w:val="3F264698"/>
    <w:rsid w:val="3F897C9D"/>
    <w:rsid w:val="3FAB982C"/>
    <w:rsid w:val="4493556A"/>
    <w:rsid w:val="4667056A"/>
    <w:rsid w:val="47590266"/>
    <w:rsid w:val="494B22FE"/>
    <w:rsid w:val="49AD06EA"/>
    <w:rsid w:val="4D203C55"/>
    <w:rsid w:val="4EFF5394"/>
    <w:rsid w:val="4F07731E"/>
    <w:rsid w:val="4FA37679"/>
    <w:rsid w:val="527A6C8D"/>
    <w:rsid w:val="53364A33"/>
    <w:rsid w:val="5563491B"/>
    <w:rsid w:val="598A113A"/>
    <w:rsid w:val="5D556928"/>
    <w:rsid w:val="5DEC139E"/>
    <w:rsid w:val="5DF7F1F5"/>
    <w:rsid w:val="5FF643C6"/>
    <w:rsid w:val="60AB6023"/>
    <w:rsid w:val="60BD1DF5"/>
    <w:rsid w:val="643259D5"/>
    <w:rsid w:val="64451FB1"/>
    <w:rsid w:val="656F3B5C"/>
    <w:rsid w:val="666BAA7D"/>
    <w:rsid w:val="69F6ECEA"/>
    <w:rsid w:val="6BF716CE"/>
    <w:rsid w:val="6D6B5BC2"/>
    <w:rsid w:val="6FB74FBA"/>
    <w:rsid w:val="6FBFF2FB"/>
    <w:rsid w:val="70861B77"/>
    <w:rsid w:val="726EB38F"/>
    <w:rsid w:val="75A87A39"/>
    <w:rsid w:val="75B22B78"/>
    <w:rsid w:val="76E5663A"/>
    <w:rsid w:val="77FAF8A8"/>
    <w:rsid w:val="79171231"/>
    <w:rsid w:val="7BBFA704"/>
    <w:rsid w:val="7C8B127E"/>
    <w:rsid w:val="7DB24078"/>
    <w:rsid w:val="7DD9502B"/>
    <w:rsid w:val="7DF7A1E9"/>
    <w:rsid w:val="7E4F0B45"/>
    <w:rsid w:val="7EBF83E4"/>
    <w:rsid w:val="7FDF754D"/>
    <w:rsid w:val="7FFF8184"/>
    <w:rsid w:val="879DFBB0"/>
    <w:rsid w:val="97FF41FE"/>
    <w:rsid w:val="AEFA5FDD"/>
    <w:rsid w:val="AFCBAAA4"/>
    <w:rsid w:val="AFF7D0D4"/>
    <w:rsid w:val="B7EF948D"/>
    <w:rsid w:val="BCFF7A92"/>
    <w:rsid w:val="BD6FDAEF"/>
    <w:rsid w:val="BF3BE38F"/>
    <w:rsid w:val="BFFF6322"/>
    <w:rsid w:val="CFBFBD50"/>
    <w:rsid w:val="D72FBA7B"/>
    <w:rsid w:val="DC73B6D7"/>
    <w:rsid w:val="DD2EE79A"/>
    <w:rsid w:val="DEEE358F"/>
    <w:rsid w:val="DEFF7390"/>
    <w:rsid w:val="DF77A59F"/>
    <w:rsid w:val="DF7A442F"/>
    <w:rsid w:val="DFD71554"/>
    <w:rsid w:val="DFFD2EA9"/>
    <w:rsid w:val="ECD1B46E"/>
    <w:rsid w:val="ED7F8A45"/>
    <w:rsid w:val="F3FB97D2"/>
    <w:rsid w:val="FCBBE1DA"/>
    <w:rsid w:val="FE3F1BB2"/>
    <w:rsid w:val="FEE54224"/>
    <w:rsid w:val="FF6F0EBC"/>
    <w:rsid w:val="FFFF70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style>
  <w:style w:type="paragraph" w:styleId="3">
    <w:name w:val="annotation text"/>
    <w:basedOn w:val="1"/>
    <w:link w:val="22"/>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3"/>
    <w:semiHidden/>
    <w:unhideWhenUsed/>
    <w:qFormat/>
    <w:uiPriority w:val="99"/>
    <w:rPr>
      <w:b/>
      <w:bCs/>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u w:val="none"/>
    </w:rPr>
  </w:style>
  <w:style w:type="character" w:styleId="14">
    <w:name w:val="Hyperlink"/>
    <w:basedOn w:val="11"/>
    <w:semiHidden/>
    <w:unhideWhenUsed/>
    <w:qFormat/>
    <w:uiPriority w:val="99"/>
    <w:rPr>
      <w:color w:val="0000FF"/>
      <w:u w:val="none"/>
    </w:rPr>
  </w:style>
  <w:style w:type="character" w:styleId="15">
    <w:name w:val="annotation reference"/>
    <w:basedOn w:val="11"/>
    <w:semiHidden/>
    <w:unhideWhenUsed/>
    <w:qFormat/>
    <w:uiPriority w:val="99"/>
    <w:rPr>
      <w:sz w:val="21"/>
      <w:szCs w:val="21"/>
    </w:rPr>
  </w:style>
  <w:style w:type="character" w:customStyle="1" w:styleId="16">
    <w:name w:val="apple-converted-space"/>
    <w:basedOn w:val="11"/>
    <w:qFormat/>
    <w:uiPriority w:val="0"/>
  </w:style>
  <w:style w:type="character" w:customStyle="1" w:styleId="17">
    <w:name w:val="页眉 Char"/>
    <w:basedOn w:val="11"/>
    <w:link w:val="6"/>
    <w:qFormat/>
    <w:uiPriority w:val="99"/>
    <w:rPr>
      <w:sz w:val="18"/>
      <w:szCs w:val="18"/>
    </w:rPr>
  </w:style>
  <w:style w:type="character" w:customStyle="1" w:styleId="18">
    <w:name w:val="页脚 Char"/>
    <w:basedOn w:val="11"/>
    <w:link w:val="5"/>
    <w:qFormat/>
    <w:uiPriority w:val="99"/>
    <w:rPr>
      <w:sz w:val="18"/>
      <w:szCs w:val="18"/>
    </w:rPr>
  </w:style>
  <w:style w:type="character" w:customStyle="1" w:styleId="19">
    <w:name w:val="批注框文本 Char"/>
    <w:basedOn w:val="11"/>
    <w:link w:val="4"/>
    <w:semiHidden/>
    <w:qFormat/>
    <w:uiPriority w:val="99"/>
    <w:rPr>
      <w:sz w:val="18"/>
      <w:szCs w:val="18"/>
    </w:rPr>
  </w:style>
  <w:style w:type="character" w:customStyle="1" w:styleId="20">
    <w:name w:val="bsharetext"/>
    <w:basedOn w:val="11"/>
    <w:qFormat/>
    <w:uiPriority w:val="0"/>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Char"/>
    <w:basedOn w:val="11"/>
    <w:link w:val="3"/>
    <w:semiHidden/>
    <w:qFormat/>
    <w:uiPriority w:val="99"/>
    <w:rPr>
      <w:rFonts w:asciiTheme="minorHAnsi" w:hAnsiTheme="minorHAnsi" w:eastAsiaTheme="minorEastAsia" w:cstheme="minorBidi"/>
      <w:kern w:val="2"/>
      <w:sz w:val="21"/>
      <w:szCs w:val="22"/>
    </w:rPr>
  </w:style>
  <w:style w:type="character" w:customStyle="1" w:styleId="23">
    <w:name w:val="批注主题 Char"/>
    <w:basedOn w:val="22"/>
    <w:link w:val="8"/>
    <w:semiHidden/>
    <w:qFormat/>
    <w:uiPriority w:val="99"/>
    <w:rPr>
      <w:rFonts w:asciiTheme="minorHAnsi" w:hAnsiTheme="minorHAnsi" w:eastAsiaTheme="minorEastAsia" w:cstheme="minorBidi"/>
      <w:b/>
      <w:bCs/>
      <w:kern w:val="2"/>
      <w:sz w:val="21"/>
      <w:szCs w:val="22"/>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AC8D8-6388-4485-86C9-06778B9262ED}">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493</Characters>
  <Lines>3</Lines>
  <Paragraphs>1</Paragraphs>
  <TotalTime>0</TotalTime>
  <ScaleCrop>false</ScaleCrop>
  <LinksUpToDate>false</LinksUpToDate>
  <CharactersWithSpaces>493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2025-10-29T08:01:00Z</dcterms:created>
  <dc:creator>Administrator</dc:creator>
  <cp:lastModifiedBy>微</cp:lastModifiedBy>
  <cp:lastPrinted>2025-10-23T00:57:00Z</cp:lastPrinted>
  <dcterms:modified xsi:type="dcterms:W3CDTF">2025-10-29T10:23:44Z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5FE9F33FD75B43DCA19A9E217526458F_13</vt:lpwstr>
  </property>
  <property fmtid="{D5CDD505-2E9C-101B-9397-08002B2CF9AE}" pid="4" name="KSOTemplateDocerSaveRecord">
    <vt:lpwstr>eyJoZGlkIjoiNjNjNGZjMzlhNjM5MGI0ZmY0YzkxNGI3MjU2NDI0YTkiLCJ1c2VySWQiOiI0MjQzMDAxNjEifQ==</vt:lpwstr>
  </property>
</Properties>
</file>