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8687">
      <w:pPr>
        <w:widowControl/>
        <w:spacing w:before="75" w:after="75"/>
        <w:ind w:firstLine="480"/>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杭州师范大学2</w:t>
      </w:r>
      <w:r>
        <w:rPr>
          <w:rFonts w:hint="eastAsia" w:ascii="宋体" w:hAnsi="宋体" w:eastAsia="宋体" w:cs="宋体"/>
          <w:color w:val="000000"/>
          <w:kern w:val="0"/>
          <w:sz w:val="32"/>
          <w:szCs w:val="32"/>
        </w:rPr>
        <w:t>024</w:t>
      </w:r>
      <w:r>
        <w:rPr>
          <w:rFonts w:hint="eastAsia" w:ascii="宋体" w:hAnsi="宋体" w:eastAsia="宋体" w:cs="宋体"/>
          <w:color w:val="000000"/>
          <w:kern w:val="0"/>
          <w:sz w:val="32"/>
          <w:szCs w:val="32"/>
        </w:rPr>
        <w:t>级学生平安保险须知</w:t>
      </w:r>
    </w:p>
    <w:p w14:paraId="79BB5602">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学生平安保险（俗称商业保险）是大学生基本医疗保险的补充保险，为防范风险，抵御重大疾病和意外伤害对学生造成的不利影响，学校采用公开招标的方式为2024级新生确定了学生平安保险的承保公司和保障方案。学生平安保险的参保费用为每人每学年30元，本着学生自愿参保的原则，新生报到入学后，承保公司的工作人员会到学校收取有意愿参保学生的保险费，保险费按照学制一次性交纳，即二年制、四年制和五年制的同学分别交60元、120元和150元。</w:t>
      </w:r>
      <w:r>
        <w:rPr>
          <w:rFonts w:hint="eastAsia" w:ascii="宋体" w:hAnsi="宋体" w:eastAsia="宋体" w:cs="宋体"/>
          <w:color w:val="000000"/>
          <w:kern w:val="0"/>
          <w:szCs w:val="21"/>
        </w:rPr>
        <w:t>保障方案如下：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7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8787A03">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保障项目</w:t>
            </w:r>
          </w:p>
        </w:tc>
        <w:tc>
          <w:tcPr>
            <w:tcW w:w="4261" w:type="dxa"/>
            <w:vAlign w:val="center"/>
          </w:tcPr>
          <w:p w14:paraId="00ED8E4D">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保险金额（万元）</w:t>
            </w:r>
          </w:p>
        </w:tc>
      </w:tr>
      <w:tr w14:paraId="644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73E3805">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校内意外身故、残疾保险金</w:t>
            </w:r>
          </w:p>
        </w:tc>
        <w:tc>
          <w:tcPr>
            <w:tcW w:w="4261" w:type="dxa"/>
            <w:vAlign w:val="center"/>
          </w:tcPr>
          <w:p w14:paraId="48F7C4BC">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rPr>
              <w:t>0</w:t>
            </w:r>
          </w:p>
        </w:tc>
      </w:tr>
      <w:tr w14:paraId="6F76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5D585E">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校内意外身故、残疾保险金</w:t>
            </w:r>
          </w:p>
        </w:tc>
        <w:tc>
          <w:tcPr>
            <w:tcW w:w="4261" w:type="dxa"/>
            <w:vAlign w:val="center"/>
          </w:tcPr>
          <w:p w14:paraId="0C13D243">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rPr>
              <w:t>0</w:t>
            </w:r>
          </w:p>
        </w:tc>
      </w:tr>
      <w:tr w14:paraId="32DA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EBA873A">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校内意外医疗保险金</w:t>
            </w:r>
          </w:p>
        </w:tc>
        <w:tc>
          <w:tcPr>
            <w:tcW w:w="4261" w:type="dxa"/>
            <w:vAlign w:val="center"/>
          </w:tcPr>
          <w:p w14:paraId="74E290D0">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rPr>
              <w:t>0</w:t>
            </w:r>
          </w:p>
        </w:tc>
      </w:tr>
      <w:tr w14:paraId="5B15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F8C2565">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校外意外医疗保险金</w:t>
            </w:r>
          </w:p>
        </w:tc>
        <w:tc>
          <w:tcPr>
            <w:tcW w:w="4261" w:type="dxa"/>
            <w:vAlign w:val="center"/>
          </w:tcPr>
          <w:p w14:paraId="3E83A31B">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rPr>
              <w:t>0</w:t>
            </w:r>
          </w:p>
        </w:tc>
      </w:tr>
      <w:tr w14:paraId="4984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20A7438">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疾病身故、全残保险金</w:t>
            </w:r>
          </w:p>
        </w:tc>
        <w:tc>
          <w:tcPr>
            <w:tcW w:w="4261" w:type="dxa"/>
            <w:vAlign w:val="center"/>
          </w:tcPr>
          <w:p w14:paraId="76197403">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14:paraId="3076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EC6C8C0">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补充住院医疗保险金</w:t>
            </w:r>
          </w:p>
        </w:tc>
        <w:tc>
          <w:tcPr>
            <w:tcW w:w="4261" w:type="dxa"/>
            <w:vAlign w:val="center"/>
          </w:tcPr>
          <w:p w14:paraId="2B106EC7">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r>
              <w:rPr>
                <w:rFonts w:hint="eastAsia" w:ascii="宋体" w:hAnsi="宋体" w:eastAsia="宋体" w:cs="宋体"/>
                <w:color w:val="000000"/>
                <w:kern w:val="0"/>
                <w:szCs w:val="21"/>
              </w:rPr>
              <w:t>0</w:t>
            </w:r>
          </w:p>
        </w:tc>
      </w:tr>
      <w:tr w14:paraId="4CFD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10051FD">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门诊大病保险金</w:t>
            </w:r>
          </w:p>
        </w:tc>
        <w:tc>
          <w:tcPr>
            <w:tcW w:w="4261" w:type="dxa"/>
            <w:vAlign w:val="center"/>
          </w:tcPr>
          <w:p w14:paraId="14564761">
            <w:pPr>
              <w:widowControl/>
              <w:spacing w:before="75" w:after="75" w:line="440" w:lineRule="exact"/>
              <w:ind w:firstLine="48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r>
              <w:rPr>
                <w:rFonts w:hint="eastAsia" w:ascii="宋体" w:hAnsi="宋体" w:eastAsia="宋体" w:cs="宋体"/>
                <w:color w:val="000000"/>
                <w:kern w:val="0"/>
                <w:szCs w:val="21"/>
              </w:rPr>
              <w:t>0</w:t>
            </w:r>
          </w:p>
        </w:tc>
      </w:tr>
    </w:tbl>
    <w:p w14:paraId="25CF7E9B">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特别约定：</w:t>
      </w:r>
      <w:r>
        <w:rPr>
          <w:rFonts w:hint="eastAsia" w:ascii="宋体" w:hAnsi="宋体" w:eastAsia="宋体" w:cs="宋体"/>
          <w:color w:val="000000"/>
          <w:kern w:val="0"/>
          <w:szCs w:val="21"/>
        </w:rPr>
        <w:t xml:space="preserve">                                                                                                                                                                                   </w:t>
      </w:r>
    </w:p>
    <w:p w14:paraId="2438CC96">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1、兹经双方协商一致，本保单疾病身故、全残等待期0天、门诊大病、疾病住院等待期为30天（续保者不受等待期限制）。</w:t>
      </w:r>
    </w:p>
    <w:p w14:paraId="320D6CE3">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2、本保单约定的医疗费用赔偿限定为</w:t>
      </w:r>
      <w:bookmarkStart w:id="0" w:name="_GoBack"/>
      <w:bookmarkEnd w:id="0"/>
      <w:r>
        <w:rPr>
          <w:rFonts w:hint="eastAsia" w:ascii="宋体" w:hAnsi="宋体" w:eastAsia="宋体" w:cs="宋体"/>
          <w:color w:val="000000"/>
          <w:kern w:val="0"/>
          <w:szCs w:val="21"/>
        </w:rPr>
        <w:t>中华人民共和国境内（不包括港、澳、台地区）二级或二级以上公立医院或保险人认可的医疗机构进行治疗产生的相关医疗费用。</w:t>
      </w:r>
    </w:p>
    <w:p w14:paraId="48170480">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本保单使用《附加学生、幼儿意外伤害门诊急诊医疗保险条款》和《附加调整意外健康险保险金额保险条款》，兹经双方协商一致，被保险人参加社会基本保险或者公费医疗的，符合社保规定支付范围的医疗费用，对其余额：意外门急诊费用免赔额0元，给付比例100%，每次门急诊限额5000元；被保险人未参加社会基本保险或者公费医疗的，符合社保规定支付范围的医疗费用，对其余额：意外伤害门急诊费用保额200000元，每次事故免赔额0元，按60%比例给付，每次门急诊限额5000元。</w:t>
      </w:r>
    </w:p>
    <w:p w14:paraId="361479A4">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本保单使用《附加学生、幼儿住院医疗保险（A款）条款》和《附加调整意外健康险保险金额保险条款》，兹经双方协商一致，被保险人参加社会基本保险或者公费医疗的，符合社保规定支付范围的医疗费用，对其余额：住院医疗费用免赔0元，按100%比例给付；门诊大病免赔0元，按70%比例给付；被保险人未参加社会基本保险或者公费医疗的，符合社保规定支付范围的医疗费用，对其余额：住院医疗费用保额600000元，免赔额200元，赔付比例：人民币1元以上至1,000元部分40%；人民币1,000元以上至5,000元部分50%；人民币5,000元以上至10,000元部分60%；人民币10,000元以上至30,000元部分70%；人民币30,000元以上部分80%，分段累加；门诊大病保额600000元，免赔200元，按70%比例给付。</w:t>
      </w:r>
    </w:p>
    <w:p w14:paraId="4A8B6BEF">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5、被保险人不满10周岁的，死亡保险金额不超过人民币20万元；被保险人已满10周岁但未满18周岁的，死亡保险金额不超过人民币50万元。具体内容以中国保监会关于未成年人死亡保险金额的有关规定为准。</w:t>
      </w:r>
    </w:p>
    <w:p w14:paraId="61B8841E">
      <w:pPr>
        <w:widowControl/>
        <w:spacing w:before="75" w:after="75" w:line="440" w:lineRule="exact"/>
        <w:ind w:firstLine="482"/>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6、本产品每一被保险人仅限购一份，超出部分保险人不承担给付保险金责任。</w:t>
      </w:r>
    </w:p>
    <w:p w14:paraId="727F1AE1">
      <w:pPr>
        <w:widowControl/>
        <w:spacing w:before="75" w:after="75" w:line="440" w:lineRule="exact"/>
        <w:ind w:firstLine="482"/>
        <w:jc w:val="left"/>
        <w:rPr>
          <w:rFonts w:hint="eastAsia" w:ascii="宋体" w:hAnsi="宋体" w:eastAsia="宋体" w:cs="宋体"/>
          <w:color w:val="000000"/>
          <w:kern w:val="0"/>
          <w:szCs w:val="21"/>
        </w:rPr>
      </w:pPr>
    </w:p>
    <w:p w14:paraId="0999BFE0">
      <w:pPr>
        <w:widowControl/>
        <w:spacing w:before="75" w:after="75"/>
        <w:ind w:firstLine="48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特别提示：本《</w:t>
      </w:r>
      <w:r>
        <w:rPr>
          <w:rFonts w:hint="eastAsia" w:ascii="宋体" w:hAnsi="宋体" w:eastAsia="宋体" w:cs="宋体"/>
          <w:color w:val="000000"/>
          <w:kern w:val="0"/>
          <w:sz w:val="18"/>
          <w:szCs w:val="18"/>
        </w:rPr>
        <w:t>杭州师范大学</w:t>
      </w:r>
      <w:r>
        <w:rPr>
          <w:rFonts w:hint="eastAsia" w:ascii="宋体" w:hAnsi="宋体" w:eastAsia="宋体" w:cs="宋体"/>
          <w:color w:val="000000"/>
          <w:kern w:val="0"/>
          <w:sz w:val="18"/>
          <w:szCs w:val="18"/>
        </w:rPr>
        <w:t>2024级学生平安保险须知》仅为保险介绍，最终以学生实际投保为准。</w:t>
      </w:r>
    </w:p>
    <w:p w14:paraId="47C6E5B4">
      <w:pPr>
        <w:widowControl/>
        <w:jc w:val="left"/>
        <w:rPr>
          <w:rFonts w:hint="eastAsia" w:ascii="宋体" w:hAnsi="宋体" w:eastAsia="宋体" w:cs="宋体"/>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GI4MDVhOTA5MGEzNjdmN2VhZGFlMDU0NjMwYjgifQ=="/>
  </w:docVars>
  <w:rsids>
    <w:rsidRoot w:val="006167E4"/>
    <w:rsid w:val="00021299"/>
    <w:rsid w:val="0004735C"/>
    <w:rsid w:val="00152698"/>
    <w:rsid w:val="00440E24"/>
    <w:rsid w:val="00587D20"/>
    <w:rsid w:val="005C3725"/>
    <w:rsid w:val="006167E4"/>
    <w:rsid w:val="0066227D"/>
    <w:rsid w:val="00684672"/>
    <w:rsid w:val="00751BFC"/>
    <w:rsid w:val="007610F8"/>
    <w:rsid w:val="0083408F"/>
    <w:rsid w:val="00854E0A"/>
    <w:rsid w:val="009206CD"/>
    <w:rsid w:val="00983D1F"/>
    <w:rsid w:val="00AA03DA"/>
    <w:rsid w:val="00AA7AF1"/>
    <w:rsid w:val="00B909DA"/>
    <w:rsid w:val="00C165B9"/>
    <w:rsid w:val="00D01FD3"/>
    <w:rsid w:val="00DD3710"/>
    <w:rsid w:val="00E10376"/>
    <w:rsid w:val="00E64D1D"/>
    <w:rsid w:val="00FD3374"/>
    <w:rsid w:val="3FCC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uiPriority w:val="99"/>
    <w:pPr>
      <w:jc w:val="left"/>
    </w:pPr>
    <w:rPr>
      <w:rFonts w:ascii="Times New Roman" w:hAnsi="Times New Roman" w:eastAsia="宋体" w:cs="Times New Roman"/>
      <w:szCs w:val="24"/>
    </w:rPr>
  </w:style>
  <w:style w:type="paragraph" w:styleId="6">
    <w:name w:val="Balloon Text"/>
    <w:basedOn w:val="1"/>
    <w:link w:val="31"/>
    <w:semiHidden/>
    <w:unhideWhenUsed/>
    <w:uiPriority w:val="99"/>
    <w:rPr>
      <w:rFonts w:ascii="Times New Roman" w:hAnsi="Times New Roman" w:eastAsia="宋体" w:cs="Times New Roman"/>
      <w:sz w:val="18"/>
      <w:szCs w:val="18"/>
    </w:rPr>
  </w:style>
  <w:style w:type="paragraph" w:styleId="7">
    <w:name w:val="footer"/>
    <w:basedOn w:val="1"/>
    <w:link w:val="23"/>
    <w:unhideWhenUsed/>
    <w:uiPriority w:val="99"/>
    <w:pPr>
      <w:tabs>
        <w:tab w:val="center" w:pos="4153"/>
        <w:tab w:val="right" w:pos="8306"/>
      </w:tabs>
      <w:snapToGrid w:val="0"/>
      <w:jc w:val="left"/>
    </w:pPr>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6"/>
    <w:qFormat/>
    <w:uiPriority w:val="0"/>
    <w:pPr>
      <w:spacing w:before="240" w:after="60" w:line="312" w:lineRule="auto"/>
      <w:jc w:val="center"/>
      <w:outlineLvl w:val="1"/>
    </w:pPr>
    <w:rPr>
      <w:rFonts w:ascii="宋体" w:hAnsi="宋体" w:cs="宋体"/>
      <w:b/>
      <w:bCs/>
      <w:kern w:val="28"/>
      <w:szCs w:val="21"/>
    </w:rPr>
  </w:style>
  <w:style w:type="paragraph" w:styleId="10">
    <w:name w:val="HTML Preformatted"/>
    <w:basedOn w:val="1"/>
    <w:link w:val="4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cs="Times New Roman"/>
      <w:b/>
      <w:bCs/>
      <w:sz w:val="32"/>
      <w:szCs w:val="32"/>
    </w:rPr>
  </w:style>
  <w:style w:type="paragraph" w:styleId="13">
    <w:name w:val="annotation subject"/>
    <w:basedOn w:val="5"/>
    <w:next w:val="5"/>
    <w:link w:val="30"/>
    <w:semiHidden/>
    <w:unhideWhenUsed/>
    <w:uiPriority w:val="99"/>
    <w:rPr>
      <w:b/>
      <w:bCs/>
    </w:rPr>
  </w:style>
  <w:style w:type="table" w:styleId="15">
    <w:name w:val="Table Grid"/>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uiPriority w:val="99"/>
    <w:rPr>
      <w:color w:val="954F72" w:themeColor="followedHyperlink"/>
      <w:u w:val="single"/>
      <w14:textFill>
        <w14:solidFill>
          <w14:schemeClr w14:val="folHlink"/>
        </w14:solidFill>
      </w14:textFill>
    </w:rPr>
  </w:style>
  <w:style w:type="character" w:styleId="18">
    <w:name w:val="Hyperlink"/>
    <w:basedOn w:val="16"/>
    <w:unhideWhenUsed/>
    <w:uiPriority w:val="99"/>
    <w:rPr>
      <w:color w:val="0000FF"/>
      <w:u w:val="single"/>
    </w:rPr>
  </w:style>
  <w:style w:type="character" w:styleId="19">
    <w:name w:val="annotation reference"/>
    <w:basedOn w:val="16"/>
    <w:unhideWhenUsed/>
    <w:uiPriority w:val="99"/>
    <w:rPr>
      <w:sz w:val="21"/>
      <w:szCs w:val="21"/>
    </w:rPr>
  </w:style>
  <w:style w:type="character" w:styleId="20">
    <w:name w:val="footnote reference"/>
    <w:uiPriority w:val="0"/>
    <w:rPr>
      <w:vertAlign w:val="superscript"/>
    </w:rPr>
  </w:style>
  <w:style w:type="character" w:customStyle="1" w:styleId="21">
    <w:name w:val="标题 2 字符"/>
    <w:basedOn w:val="16"/>
    <w:link w:val="3"/>
    <w:uiPriority w:val="9"/>
    <w:rPr>
      <w:rFonts w:ascii="宋体" w:hAnsi="宋体" w:eastAsia="宋体" w:cs="宋体"/>
      <w:b/>
      <w:bCs/>
      <w:kern w:val="0"/>
      <w:sz w:val="36"/>
      <w:szCs w:val="36"/>
    </w:rPr>
  </w:style>
  <w:style w:type="character" w:customStyle="1" w:styleId="22">
    <w:name w:val="页眉 字符"/>
    <w:basedOn w:val="16"/>
    <w:link w:val="8"/>
    <w:uiPriority w:val="99"/>
    <w:rPr>
      <w:sz w:val="18"/>
      <w:szCs w:val="18"/>
    </w:rPr>
  </w:style>
  <w:style w:type="character" w:customStyle="1" w:styleId="23">
    <w:name w:val="页脚 字符"/>
    <w:basedOn w:val="16"/>
    <w:link w:val="7"/>
    <w:uiPriority w:val="99"/>
    <w:rPr>
      <w:sz w:val="18"/>
      <w:szCs w:val="18"/>
    </w:rPr>
  </w:style>
  <w:style w:type="character" w:customStyle="1" w:styleId="24">
    <w:name w:val="标题 1 字符"/>
    <w:basedOn w:val="16"/>
    <w:link w:val="2"/>
    <w:uiPriority w:val="9"/>
    <w:rPr>
      <w:b/>
      <w:bCs/>
      <w:kern w:val="44"/>
      <w:sz w:val="44"/>
      <w:szCs w:val="44"/>
    </w:rPr>
  </w:style>
  <w:style w:type="character" w:customStyle="1" w:styleId="25">
    <w:name w:val="标题 3 字符"/>
    <w:basedOn w:val="16"/>
    <w:link w:val="4"/>
    <w:uiPriority w:val="0"/>
    <w:rPr>
      <w:b/>
      <w:bCs/>
      <w:sz w:val="32"/>
      <w:szCs w:val="32"/>
    </w:rPr>
  </w:style>
  <w:style w:type="paragraph" w:customStyle="1" w:styleId="26">
    <w:name w:val="条款正文"/>
    <w:basedOn w:val="1"/>
    <w:link w:val="34"/>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27">
    <w:name w:val="条款标题"/>
    <w:basedOn w:val="26"/>
    <w:qFormat/>
    <w:uiPriority w:val="0"/>
    <w:pPr>
      <w:tabs>
        <w:tab w:val="left" w:pos="840"/>
      </w:tabs>
      <w:ind w:left="0" w:leftChars="0" w:firstLine="0" w:firstLineChars="0"/>
    </w:pPr>
    <w:rPr>
      <w:b/>
    </w:rPr>
  </w:style>
  <w:style w:type="character" w:customStyle="1" w:styleId="28">
    <w:name w:val="标题 字符"/>
    <w:basedOn w:val="16"/>
    <w:link w:val="12"/>
    <w:uiPriority w:val="0"/>
    <w:rPr>
      <w:rFonts w:ascii="Cambria" w:hAnsi="Cambria" w:eastAsia="宋体" w:cs="Times New Roman"/>
      <w:b/>
      <w:bCs/>
      <w:sz w:val="32"/>
      <w:szCs w:val="32"/>
    </w:rPr>
  </w:style>
  <w:style w:type="character" w:customStyle="1" w:styleId="29">
    <w:name w:val="批注文字 字符"/>
    <w:basedOn w:val="16"/>
    <w:link w:val="5"/>
    <w:uiPriority w:val="99"/>
    <w:rPr>
      <w:rFonts w:ascii="Times New Roman" w:hAnsi="Times New Roman" w:eastAsia="宋体" w:cs="Times New Roman"/>
      <w:szCs w:val="24"/>
    </w:rPr>
  </w:style>
  <w:style w:type="character" w:customStyle="1" w:styleId="30">
    <w:name w:val="批注主题 字符"/>
    <w:basedOn w:val="29"/>
    <w:link w:val="13"/>
    <w:semiHidden/>
    <w:uiPriority w:val="99"/>
    <w:rPr>
      <w:rFonts w:ascii="Times New Roman" w:hAnsi="Times New Roman" w:eastAsia="宋体" w:cs="Times New Roman"/>
      <w:b/>
      <w:bCs/>
      <w:szCs w:val="24"/>
    </w:rPr>
  </w:style>
  <w:style w:type="character" w:customStyle="1" w:styleId="31">
    <w:name w:val="批注框文本 字符"/>
    <w:basedOn w:val="16"/>
    <w:link w:val="6"/>
    <w:semiHidden/>
    <w:uiPriority w:val="99"/>
    <w:rPr>
      <w:rFonts w:ascii="Times New Roman" w:hAnsi="Times New Roman" w:eastAsia="宋体" w:cs="Times New Roman"/>
      <w:sz w:val="18"/>
      <w:szCs w:val="18"/>
    </w:rPr>
  </w:style>
  <w:style w:type="paragraph" w:customStyle="1" w:styleId="32">
    <w:name w:val="的"/>
    <w:basedOn w:val="1"/>
    <w:uiPriority w:val="0"/>
    <w:pPr>
      <w:tabs>
        <w:tab w:val="left" w:pos="840"/>
      </w:tabs>
      <w:adjustRightInd w:val="0"/>
      <w:snapToGrid w:val="0"/>
      <w:spacing w:line="0" w:lineRule="atLeast"/>
    </w:pPr>
    <w:rPr>
      <w:rFonts w:ascii="宋体" w:hAnsi="宋体" w:eastAsia="宋体" w:cs="宋体"/>
      <w:b/>
      <w:szCs w:val="21"/>
    </w:rPr>
  </w:style>
  <w:style w:type="paragraph" w:customStyle="1" w:styleId="33">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34">
    <w:name w:val="条款正文 字符"/>
    <w:link w:val="26"/>
    <w:uiPriority w:val="0"/>
    <w:rPr>
      <w:rFonts w:ascii="Times New Roman" w:hAnsi="Times New Roman" w:eastAsia="宋体" w:cs="Times New Roman"/>
      <w:szCs w:val="24"/>
    </w:rPr>
  </w:style>
  <w:style w:type="character" w:customStyle="1" w:styleId="35">
    <w:name w:val="访问过的超链接1"/>
    <w:basedOn w:val="16"/>
    <w:semiHidden/>
    <w:unhideWhenUsed/>
    <w:uiPriority w:val="99"/>
    <w:rPr>
      <w:color w:val="954F72"/>
      <w:u w:val="single"/>
    </w:rPr>
  </w:style>
  <w:style w:type="character" w:customStyle="1" w:styleId="36">
    <w:name w:val="副标题 字符"/>
    <w:link w:val="9"/>
    <w:locked/>
    <w:uiPriority w:val="0"/>
    <w:rPr>
      <w:rFonts w:ascii="宋体" w:hAnsi="宋体" w:cs="宋体"/>
      <w:b/>
      <w:bCs/>
      <w:kern w:val="28"/>
      <w:szCs w:val="21"/>
    </w:rPr>
  </w:style>
  <w:style w:type="paragraph" w:customStyle="1" w:styleId="37">
    <w:name w:val="条款2级1"/>
    <w:basedOn w:val="1"/>
    <w:next w:val="1"/>
    <w:qFormat/>
    <w:uiPriority w:val="0"/>
    <w:pPr>
      <w:tabs>
        <w:tab w:val="left" w:pos="840"/>
      </w:tabs>
      <w:jc w:val="left"/>
      <w:outlineLvl w:val="1"/>
    </w:pPr>
    <w:rPr>
      <w:rFonts w:ascii="宋体" w:hAnsi="宋体" w:cs="宋体"/>
      <w:b/>
      <w:bCs/>
      <w:kern w:val="28"/>
      <w:szCs w:val="21"/>
    </w:rPr>
  </w:style>
  <w:style w:type="character" w:customStyle="1" w:styleId="38">
    <w:name w:val="副标题 Char1"/>
    <w:basedOn w:val="16"/>
    <w:uiPriority w:val="11"/>
    <w:rPr>
      <w:rFonts w:ascii="Calibri Light" w:hAnsi="Calibri Light" w:eastAsia="宋体" w:cs="Times New Roman"/>
      <w:b/>
      <w:bCs/>
      <w:kern w:val="28"/>
      <w:sz w:val="32"/>
      <w:szCs w:val="32"/>
    </w:rPr>
  </w:style>
  <w:style w:type="paragraph" w:styleId="39">
    <w:name w:val="List Paragraph"/>
    <w:basedOn w:val="1"/>
    <w:qFormat/>
    <w:uiPriority w:val="34"/>
    <w:pPr>
      <w:ind w:firstLine="420" w:firstLineChars="200"/>
    </w:pPr>
    <w:rPr>
      <w:rFonts w:ascii="Times New Roman" w:hAnsi="Times New Roman" w:eastAsia="宋体" w:cs="Times New Roman"/>
      <w:szCs w:val="24"/>
    </w:rPr>
  </w:style>
  <w:style w:type="character" w:customStyle="1" w:styleId="40">
    <w:name w:val="HTML 预设格式 字符"/>
    <w:basedOn w:val="16"/>
    <w:link w:val="10"/>
    <w:uiPriority w:val="99"/>
    <w:rPr>
      <w:rFonts w:ascii="宋体" w:hAnsi="宋体" w:eastAsia="宋体" w:cs="宋体"/>
      <w:kern w:val="0"/>
      <w:sz w:val="24"/>
      <w:szCs w:val="24"/>
    </w:rPr>
  </w:style>
  <w:style w:type="character" w:customStyle="1" w:styleId="41">
    <w:name w:val="副标题 字符1"/>
    <w:basedOn w:val="16"/>
    <w:uiPriority w:val="11"/>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1118</Words>
  <Characters>1228</Characters>
  <Lines>10</Lines>
  <Paragraphs>2</Paragraphs>
  <TotalTime>75</TotalTime>
  <ScaleCrop>false</ScaleCrop>
  <LinksUpToDate>false</LinksUpToDate>
  <CharactersWithSpaces>1407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2021-08-17T02:17:00Z</dcterms:created>
  <dc:creator>admin</dc:creator>
  <cp:lastModifiedBy>沈先森</cp:lastModifiedBy>
  <dcterms:modified xsi:type="dcterms:W3CDTF">2024-08-23T12:06:43Z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A64FB34C90E94BA595A9A25A49A4DD39_12</vt:lpwstr>
  </property>
</Properties>
</file>