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青田县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2024年赴浙江师范大学招聘中小学教师计划表</w:t>
      </w:r>
    </w:p>
    <w:tbl>
      <w:tblPr>
        <w:tblStyle w:val="3"/>
        <w:tblW w:w="879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905"/>
        <w:gridCol w:w="1620"/>
        <w:gridCol w:w="3015"/>
        <w:gridCol w:w="15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序号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招聘学段与学科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招聘职数</w:t>
            </w:r>
          </w:p>
        </w:tc>
        <w:tc>
          <w:tcPr>
            <w:tcW w:w="301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招聘条件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高中政治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0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1.普通高校师范类专业2024年应届本科毕业生；所学专业相符。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2.普通高校非师范类专业2024年应届本科毕业生，必须是浙江省内生源普通类且高考录取分数线在一段线（594分）及以上，所学专业相符或相近。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3.2024年毕业的硕士及以上研究生（大陆的，要求为普通高校毕业生，所学专业相符或相近；港澳台、海外的，要求本科为大陆公办普通高校毕业且硕士学位经教育部认证，本科或研究生所学专业相符或相近）。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青田县户籍（生源），符合下列情形之一的，毕业时间放宽到2021-2024年。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9"/>
                <w:szCs w:val="19"/>
              </w:rPr>
              <w:t>①</w:t>
            </w:r>
            <w:r>
              <w:rPr>
                <w:rFonts w:hint="default" w:ascii="Calibri" w:hAnsi="Calibri" w:cs="Calibri"/>
                <w:sz w:val="21"/>
                <w:szCs w:val="21"/>
              </w:rPr>
              <w:t>符合相应岗位招聘条件</w:t>
            </w: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9"/>
                <w:szCs w:val="19"/>
              </w:rPr>
              <w:t>②</w:t>
            </w:r>
            <w:r>
              <w:rPr>
                <w:rFonts w:hint="default" w:ascii="Calibri" w:hAnsi="Calibri" w:cs="Calibri"/>
                <w:sz w:val="21"/>
                <w:szCs w:val="21"/>
              </w:rPr>
              <w:t>大学期间获得院级及以上优秀毕业生</w:t>
            </w: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或三好学生或优秀学生（党员）或优秀学生干部（党、团）荣誉且综合（专业）成绩排名前30%的普通高校本科及以上，所学专业相符或相近毕业生；③普通高校本科及以上，所学专业相符或相近且已取得相应招聘岗位教师资格证书的毕业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高中地理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高中化学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中小学心理学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中学语文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中学数学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中学英语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中小学科学（理化生）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0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青田县户籍（生源），且符合上述条件之一。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小学英语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0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中职机械机电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1（县职技校1）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普通高校2024年应届本科及以上毕业生，所学专业相符或相近。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注：招聘计划可视生源情况进行调整。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青田县教育局招聘中小学教师专业目录</w:t>
      </w:r>
    </w:p>
    <w:tbl>
      <w:tblPr>
        <w:tblStyle w:val="3"/>
        <w:tblW w:w="8190" w:type="dxa"/>
        <w:tblCellSpacing w:w="0" w:type="dxa"/>
        <w:tblInd w:w="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840"/>
        <w:gridCol w:w="1470"/>
        <w:gridCol w:w="1455"/>
        <w:gridCol w:w="226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招聘学段与学科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相符专业目录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相近专业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学术型研究生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专业硕士研究生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高中政治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思想政治教育（师范）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政治学、政治学与行政学、国际政治、思想政治教育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课程与教学论（思想政治教育方向）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学科教学（思政）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高中地理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地理科学（师范）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地理信息科学、地理科学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课程与教学论（地理教育学方向）、地理学、自然地理学、人文地理学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学科教学（地理）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高中化学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化学、应用化学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课程与教学论（化学教育学方向）、化学、无机化学、有机化学、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中小学心理学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应用心理学（师范）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心理学、应用心理学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心理学、基础心理学、应用心理学、发展与教育心理学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应用心理、心理健康教育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中学语文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汉语言文学（师范）、汉语国际教育（师范）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汉语言文学、汉语国际教育、汉语言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课程与教学论（语文教育学方向） 、语言学及应用语言学、中国语言文学、中国现当代文学、中国古代文学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学科教学（语文）、汉语国际教育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中学数学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数学与应用数学（师范）、信息与计算科学（师范）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数学与应用数学、信息与计算科学、数理基础科学、数据计算及应用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课程与教学论（数学教育学方向）、数学、基础数学、计算数学、应用数学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中学英语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英语（师范）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英语、商务英语、翻译（翻译英语方向）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课程与教学论（英语教育学方向）、英语语言文学（英语文学、翻译、英语语言学方向）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学科教学（英语）、英语笔译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中小学科学（理化生）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科学教育（师范）、物理学（师范）、化学（师范）、生物科学（师范）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物理学、应用物理学、化学、应用化学、生物科学、生物技术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课程与教学论（科学教育、物理、化学、生物方向）、物理学、理论物理、凝聚态物理、化学、无机化学、有机化学、生物学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学科教学（物理、化学、生物）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小学数学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小学教育（师范）、数学与应用数学（师范）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数学与应用数学、信息与计算科学、数理基础科学、数据计算及应用、小学教育（含数学、科学方向）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课程与教学论（数学教育学方向）、数学、基础数学、计算数学、应用数学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学科教学（数学）、小学教育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小学英语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英语（师范）、小学教育（师范-英语方向）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英语、商务英语、翻译（翻译英语方向）、小学教育（英语方向）、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课程与教学论（英语教育学方向）、英语语言文学（英语文学、翻译、英语语言学方向）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学科教学（英语）、小学教育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tblCellSpacing w:w="0" w:type="dxa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中职机械机电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机器人工程、无人驾驶航空器系统工程、机械工程、机电技术教育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工业智能、智能装备与系统、智能制造工程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机械工程080200、机械制造及其自动化080201、机械设计及理论080203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机械085500、机械工程085501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青田县教育局应聘人员基本情况登记表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报考科类：                 №</w:t>
      </w:r>
    </w:p>
    <w:tbl>
      <w:tblPr>
        <w:tblStyle w:val="3"/>
        <w:tblW w:w="982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493"/>
        <w:gridCol w:w="1319"/>
        <w:gridCol w:w="1041"/>
        <w:gridCol w:w="1458"/>
        <w:gridCol w:w="336"/>
        <w:gridCol w:w="938"/>
        <w:gridCol w:w="2383"/>
        <w:gridCol w:w="14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是否成教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是否高职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 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师范类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   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受过处分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4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高考分数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高考成绩位次号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如所填内容与事实不符，一切后果自负。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 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0" w:type="dxa"/>
          <w:jc w:val="center"/>
        </w:trPr>
        <w:tc>
          <w:tcPr>
            <w:tcW w:w="28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审核意见及签名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华文行楷" w:hAnsi="华文行楷" w:eastAsia="华文行楷" w:cs="华文行楷"/>
                <w:sz w:val="36"/>
                <w:szCs w:val="36"/>
              </w:rPr>
              <w:t>符合条件，同意该考生参加考试。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审核人：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28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温馨提醒</w:t>
            </w:r>
          </w:p>
        </w:tc>
        <w:tc>
          <w:tcPr>
            <w:tcW w:w="694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应聘对象凭此表参加考试，请注意保存。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1529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mQ5NTRmY2RmNTMwMGI2ZDI2MzM4MmZlMDE5MjQifQ=="/>
  </w:docVars>
  <w:rsids>
    <w:rsidRoot w:val="5D2F4697"/>
    <w:rsid w:val="46C6427C"/>
    <w:rsid w:val="5D2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2024-04-12T01:26:00Z</dcterms:created>
  <dc:creator>水无鱼</dc:creator>
  <cp:lastModifiedBy>是柚子哟</cp:lastModifiedBy>
  <dcterms:modified xsi:type="dcterms:W3CDTF">2024-04-15T03:00:09Z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78540FA4AF6A4A5CAE2B25CC70F479EF_11</vt:lpwstr>
  </property>
</Properties>
</file>