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210"/>
        <w:jc w:val="center"/>
        <w:outlineLvl w:val="0"/>
        <w:rPr>
          <w:rFonts w:ascii="Microsoft YaHei UI" w:hAnsi="Microsoft YaHei UI" w:eastAsia="Microsoft YaHei UI" w:cs="宋体"/>
          <w:color w:val="000000" w:themeColor="text1"/>
          <w:spacing w:val="8"/>
          <w:kern w:val="36"/>
          <w:sz w:val="33"/>
          <w:szCs w:val="33"/>
          <w14:textFill>
            <w14:solidFill>
              <w14:schemeClr w14:val="tx1"/>
            </w14:solidFill>
          </w14:textFill>
        </w:rPr>
      </w:pPr>
      <w:r>
        <w:rPr>
          <w:rFonts w:hint="eastAsia" w:ascii="Microsoft YaHei UI" w:hAnsi="Microsoft YaHei UI" w:eastAsia="Microsoft YaHei UI" w:cs="宋体"/>
          <w:color w:val="000000" w:themeColor="text1"/>
          <w:spacing w:val="8"/>
          <w:kern w:val="36"/>
          <w:sz w:val="33"/>
          <w:szCs w:val="33"/>
          <w14:textFill>
            <w14:solidFill>
              <w14:schemeClr w14:val="tx1"/>
            </w14:solidFill>
          </w14:textFill>
        </w:rPr>
        <w:t>镇海中学嵊州分校公开招聘2024年事业编制教师的</w:t>
      </w:r>
    </w:p>
    <w:p>
      <w:pPr>
        <w:widowControl/>
        <w:shd w:val="clear" w:color="auto" w:fill="FFFFFF"/>
        <w:spacing w:after="210"/>
        <w:jc w:val="center"/>
        <w:outlineLvl w:val="0"/>
        <w:rPr>
          <w:rFonts w:ascii="Microsoft YaHei UI" w:hAnsi="Microsoft YaHei UI" w:eastAsia="Microsoft YaHei UI" w:cs="宋体"/>
          <w:color w:val="000000" w:themeColor="text1"/>
          <w:spacing w:val="8"/>
          <w:kern w:val="36"/>
          <w:sz w:val="33"/>
          <w:szCs w:val="33"/>
          <w14:textFill>
            <w14:solidFill>
              <w14:schemeClr w14:val="tx1"/>
            </w14:solidFill>
          </w14:textFill>
        </w:rPr>
      </w:pPr>
      <w:r>
        <w:rPr>
          <w:rFonts w:hint="eastAsia" w:ascii="Microsoft YaHei UI" w:hAnsi="Microsoft YaHei UI" w:eastAsia="Microsoft YaHei UI" w:cs="宋体"/>
          <w:color w:val="000000" w:themeColor="text1"/>
          <w:spacing w:val="8"/>
          <w:kern w:val="36"/>
          <w:sz w:val="33"/>
          <w:szCs w:val="33"/>
          <w14:textFill>
            <w14:solidFill>
              <w14:schemeClr w14:val="tx1"/>
            </w14:solidFill>
          </w14:textFill>
        </w:rPr>
        <w:t>公 告</w:t>
      </w:r>
    </w:p>
    <w:p>
      <w:pPr>
        <w:widowControl/>
        <w:spacing w:line="500" w:lineRule="exact"/>
        <w:ind w:firstLine="482"/>
        <w:rPr>
          <w:rFonts w:ascii="华文宋体" w:hAnsi="华文宋体" w:eastAsia="华文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事业单位人事管理条例》《浙江省事业单位公开招聘人员暂行办法》和《绍兴市事业单位公开招聘工作实施细则（试行）》等有关规定，经嵊州市教体局审核，报市人力资源和社会保障局同意，拟公开招聘事业编制教师</w:t>
      </w:r>
      <w:r>
        <w:rPr>
          <w:rFonts w:hint="eastAsia" w:ascii="宋体" w:hAnsi="宋体" w:eastAsia="宋体" w:cs="宋体"/>
          <w:color w:val="000000" w:themeColor="text1"/>
          <w:sz w:val="24"/>
          <w:szCs w:val="24"/>
          <w:lang w:val="en-US" w:eastAsia="zh-CN"/>
          <w14:textFill>
            <w14:solidFill>
              <w14:schemeClr w14:val="tx1"/>
            </w14:solidFill>
          </w14:textFill>
        </w:rPr>
        <w:t>24</w:t>
      </w:r>
      <w:r>
        <w:rPr>
          <w:rFonts w:hint="eastAsia" w:ascii="宋体" w:hAnsi="宋体" w:eastAsia="宋体" w:cs="宋体"/>
          <w:color w:val="000000" w:themeColor="text1"/>
          <w:sz w:val="24"/>
          <w:szCs w:val="24"/>
          <w14:textFill>
            <w14:solidFill>
              <w14:schemeClr w14:val="tx1"/>
            </w14:solidFill>
          </w14:textFill>
        </w:rPr>
        <w:t>名。现就有关事项公告如下：</w:t>
      </w:r>
    </w:p>
    <w:p>
      <w:pPr>
        <w:widowControl/>
        <w:ind w:firstLine="542" w:firstLineChars="200"/>
        <w:jc w:val="left"/>
        <w:rPr>
          <w:rFonts w:ascii="华文宋体" w:hAnsi="华文宋体" w:eastAsia="华文宋体" w:cs="宋体"/>
          <w:color w:val="000000" w:themeColor="text1"/>
          <w:kern w:val="0"/>
          <w:sz w:val="24"/>
          <w:szCs w:val="24"/>
          <w14:textFill>
            <w14:solidFill>
              <w14:schemeClr w14:val="tx1"/>
            </w14:solidFill>
          </w14:textFill>
        </w:rPr>
      </w:pPr>
      <w:r>
        <w:rPr>
          <w:rFonts w:ascii="华文宋体" w:hAnsi="华文宋体" w:eastAsia="华文宋体" w:cs="宋体"/>
          <w:b/>
          <w:bCs/>
          <w:color w:val="000000" w:themeColor="text1"/>
          <w:kern w:val="0"/>
          <w:sz w:val="27"/>
          <w:szCs w:val="27"/>
          <w14:textFill>
            <w14:solidFill>
              <w14:schemeClr w14:val="tx1"/>
            </w14:solidFill>
          </w14:textFill>
        </w:rPr>
        <w:t>一、招聘单位简介</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镇海中学嵊州分校是一所由嵊州市政府创办，宁波市镇海中学负责管理的公办完全中学。学校坐落在嵊州经济开发区，校园占地面积约160亩，传承镇中风格，建有硬件设施一流、功能齐全的各类专用教室、活动场馆、开放式学习休闲空间和师生生活设施，水榭亭台布局井然，文化氛围沉静博雅，满足师生多样化工作、学习、生活的需要。</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学校通过注入“镇海中学”品牌，秉承镇海中学“梓材荫泽，追求卓越”办学理念、“重在自觉、贵在成全”教育理念和“励志、进取、勤奋、健美”校训，全体教师坚持“学生在，老师在”的教育态度，努力创办面向未来的品质教育，培养志存高远、勇于担当、本领过硬的新时代少年。</w:t>
      </w:r>
    </w:p>
    <w:p>
      <w:pPr>
        <w:widowControl/>
        <w:ind w:firstLine="542" w:firstLineChars="200"/>
        <w:jc w:val="left"/>
        <w:rPr>
          <w:rFonts w:ascii="华文宋体" w:hAnsi="华文宋体" w:eastAsia="华文宋体" w:cs="宋体"/>
          <w:color w:val="000000" w:themeColor="text1"/>
          <w:kern w:val="0"/>
          <w:sz w:val="24"/>
          <w:szCs w:val="24"/>
          <w14:textFill>
            <w14:solidFill>
              <w14:schemeClr w14:val="tx1"/>
            </w14:solidFill>
          </w14:textFill>
        </w:rPr>
      </w:pPr>
      <w:r>
        <w:rPr>
          <w:rFonts w:ascii="华文宋体" w:hAnsi="华文宋体" w:eastAsia="华文宋体" w:cs="宋体"/>
          <w:b/>
          <w:bCs/>
          <w:color w:val="000000" w:themeColor="text1"/>
          <w:kern w:val="0"/>
          <w:sz w:val="27"/>
          <w:szCs w:val="27"/>
          <w14:textFill>
            <w14:solidFill>
              <w14:schemeClr w14:val="tx1"/>
            </w14:solidFill>
          </w14:textFill>
        </w:rPr>
        <w:t>二、招聘原则与办法</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招聘工作坚持公开、平等、竞争、择优原则，按照德才兼备的用人标准，通过公开报名、资格确认、测试、体检和考察等程序进行，择优聘用。</w:t>
      </w:r>
    </w:p>
    <w:p>
      <w:pPr>
        <w:widowControl/>
        <w:numPr>
          <w:ilvl w:val="0"/>
          <w:numId w:val="1"/>
        </w:numPr>
        <w:ind w:firstLine="542" w:firstLineChars="200"/>
        <w:jc w:val="left"/>
        <w:rPr>
          <w:rFonts w:ascii="华文宋体" w:hAnsi="华文宋体" w:eastAsia="华文宋体" w:cs="宋体"/>
          <w:b/>
          <w:bCs/>
          <w:color w:val="000000" w:themeColor="text1"/>
          <w:kern w:val="0"/>
          <w:sz w:val="27"/>
          <w:szCs w:val="27"/>
          <w14:textFill>
            <w14:solidFill>
              <w14:schemeClr w14:val="tx1"/>
            </w14:solidFill>
          </w14:textFill>
        </w:rPr>
      </w:pPr>
      <w:r>
        <w:rPr>
          <w:rFonts w:ascii="华文宋体" w:hAnsi="华文宋体" w:eastAsia="华文宋体" w:cs="宋体"/>
          <w:b/>
          <w:bCs/>
          <w:color w:val="000000" w:themeColor="text1"/>
          <w:kern w:val="0"/>
          <w:sz w:val="27"/>
          <w:szCs w:val="27"/>
          <w14:textFill>
            <w14:solidFill>
              <w14:schemeClr w14:val="tx1"/>
            </w14:solidFill>
          </w14:textFill>
        </w:rPr>
        <w:t>招聘岗位与人数</w:t>
      </w:r>
    </w:p>
    <w:p>
      <w:pPr>
        <w:pStyle w:val="2"/>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本次招聘初中各学科共计划岗位数</w:t>
      </w:r>
      <w:r>
        <w:rPr>
          <w:rFonts w:hint="eastAsia"/>
          <w:color w:val="000000" w:themeColor="text1"/>
          <w:lang w:val="en-US" w:eastAsia="zh-CN"/>
          <w14:textFill>
            <w14:solidFill>
              <w14:schemeClr w14:val="tx1"/>
            </w14:solidFill>
          </w14:textFill>
        </w:rPr>
        <w:t>24</w:t>
      </w:r>
      <w:r>
        <w:rPr>
          <w:rFonts w:hint="eastAsia"/>
          <w:color w:val="000000" w:themeColor="text1"/>
          <w14:textFill>
            <w14:solidFill>
              <w14:schemeClr w14:val="tx1"/>
            </w14:solidFill>
          </w14:textFill>
        </w:rPr>
        <w:t>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0"/>
        <w:gridCol w:w="2080"/>
        <w:gridCol w:w="2080"/>
        <w:gridCol w:w="2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岗位</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人数</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岗位</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语文</w:t>
            </w:r>
          </w:p>
        </w:tc>
        <w:tc>
          <w:tcPr>
            <w:tcW w:w="2080" w:type="dxa"/>
          </w:tcPr>
          <w:p>
            <w:pPr>
              <w:autoSpaceDE w:val="0"/>
              <w:spacing w:line="430" w:lineRule="exact"/>
              <w:jc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4</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数学</w:t>
            </w:r>
          </w:p>
        </w:tc>
        <w:tc>
          <w:tcPr>
            <w:tcW w:w="2080" w:type="dxa"/>
          </w:tcPr>
          <w:p>
            <w:pPr>
              <w:autoSpaceDE w:val="0"/>
              <w:spacing w:line="430" w:lineRule="exact"/>
              <w:jc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英语</w:t>
            </w:r>
          </w:p>
        </w:tc>
        <w:tc>
          <w:tcPr>
            <w:tcW w:w="2080" w:type="dxa"/>
          </w:tcPr>
          <w:p>
            <w:pPr>
              <w:autoSpaceDE w:val="0"/>
              <w:spacing w:line="430" w:lineRule="exact"/>
              <w:jc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4</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科学</w:t>
            </w:r>
          </w:p>
        </w:tc>
        <w:tc>
          <w:tcPr>
            <w:tcW w:w="2080" w:type="dxa"/>
          </w:tcPr>
          <w:p>
            <w:pPr>
              <w:autoSpaceDE w:val="0"/>
              <w:spacing w:line="430" w:lineRule="exact"/>
              <w:jc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社政</w:t>
            </w:r>
          </w:p>
        </w:tc>
        <w:tc>
          <w:tcPr>
            <w:tcW w:w="2080" w:type="dxa"/>
          </w:tcPr>
          <w:p>
            <w:pPr>
              <w:autoSpaceDE w:val="0"/>
              <w:spacing w:line="430" w:lineRule="exact"/>
              <w:jc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2</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音乐</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体育</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2</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美术</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信息技术</w:t>
            </w:r>
          </w:p>
        </w:tc>
        <w:tc>
          <w:tcPr>
            <w:tcW w:w="2080" w:type="dxa"/>
          </w:tcPr>
          <w:p>
            <w:pPr>
              <w:autoSpaceDE w:val="0"/>
              <w:spacing w:line="430" w:lineRule="exact"/>
              <w:jc w:val="center"/>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2</w:t>
            </w: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c>
          <w:tcPr>
            <w:tcW w:w="2080" w:type="dxa"/>
          </w:tcPr>
          <w:p>
            <w:pPr>
              <w:autoSpaceDE w:val="0"/>
              <w:spacing w:line="430" w:lineRule="exact"/>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bl>
    <w:p>
      <w:pPr>
        <w:widowControl/>
        <w:ind w:firstLine="542" w:firstLineChars="200"/>
        <w:jc w:val="left"/>
        <w:rPr>
          <w:rFonts w:ascii="华文宋体" w:hAnsi="华文宋体" w:eastAsia="华文宋体" w:cs="宋体"/>
          <w:color w:val="000000" w:themeColor="text1"/>
          <w:kern w:val="0"/>
          <w:sz w:val="24"/>
          <w:szCs w:val="24"/>
          <w14:textFill>
            <w14:solidFill>
              <w14:schemeClr w14:val="tx1"/>
            </w14:solidFill>
          </w14:textFill>
        </w:rPr>
      </w:pPr>
      <w:r>
        <w:rPr>
          <w:rFonts w:ascii="华文宋体" w:hAnsi="华文宋体" w:eastAsia="华文宋体" w:cs="宋体"/>
          <w:b/>
          <w:bCs/>
          <w:color w:val="000000" w:themeColor="text1"/>
          <w:kern w:val="0"/>
          <w:sz w:val="27"/>
          <w:szCs w:val="27"/>
          <w14:textFill>
            <w14:solidFill>
              <w14:schemeClr w14:val="tx1"/>
            </w14:solidFill>
          </w14:textFill>
        </w:rPr>
        <w:t>四、招聘对象与条件</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遵守国家法律、法规,无违纪处分及违法记录。</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 身心健康，热爱教育事业，具备良好的教师职业道德素养、专业知识水平和教育教学技能，有继续学习和自我提升的意愿；肯吃苦耐劳，认同镇海中学“教育自觉”</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“学生在、老师在”等办学理念和“教育贵在成全”等教育价值追求。</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 具备岗位所需要的专业知识水平、教育教学能力和心理素质,愿意并有能力承担基础学科教学以外的学生活动或心理成长指导工作。</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 2023届、2024届普通高校本科及以上学历毕业生</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不限生源和户籍。</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 年龄在35周岁以下(198</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月1日及以后出生)的在职优秀教师，任教满五学年的需获地市级名优称号或教学业务比赛二等奖及以上；任教不满五学年的需获县市区级名优称号或教学业务比赛</w:t>
      </w:r>
      <w:r>
        <w:rPr>
          <w:rFonts w:hint="eastAsia" w:ascii="宋体" w:hAnsi="宋体" w:eastAsia="宋体" w:cs="宋体"/>
          <w:color w:val="000000" w:themeColor="text1"/>
          <w:sz w:val="24"/>
          <w:szCs w:val="24"/>
          <w:lang w:val="en-US" w:eastAsia="zh-CN"/>
          <w14:textFill>
            <w14:solidFill>
              <w14:schemeClr w14:val="tx1"/>
            </w14:solidFill>
          </w14:textFill>
        </w:rPr>
        <w:t>三</w:t>
      </w:r>
      <w:r>
        <w:rPr>
          <w:rFonts w:hint="eastAsia" w:ascii="宋体" w:hAnsi="宋体" w:eastAsia="宋体" w:cs="宋体"/>
          <w:color w:val="000000" w:themeColor="text1"/>
          <w:sz w:val="24"/>
          <w:szCs w:val="24"/>
          <w14:textFill>
            <w14:solidFill>
              <w14:schemeClr w14:val="tx1"/>
            </w14:solidFill>
          </w14:textFill>
        </w:rPr>
        <w:t>等奖及以上。具有副高专业职称以上教师可放宽到45周岁以下(197</w:t>
      </w: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月1日及以后出生)。</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 2023届、2024届毕业生具备同报考学科相对口的专业（详见附件1）；在职优秀教师具有与报考学科相匹配的教师资格证或职称证书(以本人已取得的最高层次职称证书为准)，专业不作要求。</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 未取得教师资格证的2023届、2024届毕业生要求在</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起一年内取得相应的教师资格证书(截止2025年7月31日)，届时未取得相应教师资格证书的人员解除聘用合同。符合上述报考条件现为嵊州市教师需取得所在学校同意方可报名。</w:t>
      </w:r>
    </w:p>
    <w:p>
      <w:pPr>
        <w:widowControl/>
        <w:ind w:left="538" w:leftChars="256" w:firstLine="0" w:firstLineChars="0"/>
        <w:jc w:val="left"/>
        <w:rPr>
          <w:rFonts w:ascii="华文宋体" w:hAnsi="华文宋体" w:eastAsia="华文宋体" w:cs="宋体"/>
          <w:b/>
          <w:bCs/>
          <w:color w:val="000000" w:themeColor="text1"/>
          <w:kern w:val="0"/>
          <w:sz w:val="27"/>
          <w:szCs w:val="27"/>
          <w14:textFill>
            <w14:solidFill>
              <w14:schemeClr w14:val="tx1"/>
            </w14:solidFill>
          </w14:textFill>
        </w:rPr>
      </w:pPr>
      <w:r>
        <w:rPr>
          <w:rFonts w:ascii="华文宋体" w:hAnsi="华文宋体" w:eastAsia="华文宋体" w:cs="宋体"/>
          <w:b/>
          <w:bCs/>
          <w:color w:val="000000" w:themeColor="text1"/>
          <w:kern w:val="0"/>
          <w:sz w:val="27"/>
          <w:szCs w:val="27"/>
          <w14:textFill>
            <w14:solidFill>
              <w14:schemeClr w14:val="tx1"/>
            </w14:solidFill>
          </w14:textFill>
        </w:rPr>
        <w:t>五、招聘程序与办法</w:t>
      </w:r>
    </w:p>
    <w:p>
      <w:pPr>
        <w:widowControl/>
        <w:ind w:left="481" w:leftChars="229" w:firstLine="0" w:firstLineChars="0"/>
        <w:jc w:val="left"/>
        <w:rPr>
          <w:rFonts w:hint="eastAsia" w:ascii="宋体" w:hAnsi="宋体" w:eastAsia="宋体" w:cs="Times New Roman"/>
          <w:b/>
          <w:bCs/>
          <w:color w:val="000000" w:themeColor="text1"/>
          <w:kern w:val="0"/>
          <w:sz w:val="24"/>
          <w:szCs w:val="24"/>
          <w14:textFill>
            <w14:solidFill>
              <w14:schemeClr w14:val="tx1"/>
            </w14:solidFill>
          </w14:textFill>
        </w:rPr>
      </w:pPr>
      <w:r>
        <w:rPr>
          <w:rFonts w:hint="eastAsia" w:ascii="宋体" w:hAnsi="宋体" w:eastAsia="宋体" w:cs="Times New Roman"/>
          <w:b/>
          <w:bCs/>
          <w:color w:val="000000" w:themeColor="text1"/>
          <w:kern w:val="0"/>
          <w:sz w:val="24"/>
          <w:szCs w:val="24"/>
          <w14:textFill>
            <w14:solidFill>
              <w14:schemeClr w14:val="tx1"/>
            </w14:solidFill>
          </w14:textFill>
        </w:rPr>
        <w:t>（一）报名</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招聘采用网上报名的方式。应聘者填写《镇海中学嵊州分校教师招聘报名表》(附件2)(报名表上的照片须为近期免冠正面证件照，jpg格式)，如高校期间荣获优秀毕业生、三好学生等荣誉、获得各类奖学金、竞赛等奖项及在职期间获得地市级以上名优称号、竞赛奖项的，在邮件中可附上证书原件或学校出具证明的图片文档，同时将报名材料清单(附件3)中所列材料原件扫描或拍照压缩打包(压缩包以“姓名+学科”命名)，发送到学校邮箱：zhzxszfx@163.com。报名截止时间为2023年1</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17</w:t>
      </w:r>
      <w:r>
        <w:rPr>
          <w:rFonts w:hint="eastAsia" w:ascii="宋体" w:hAnsi="宋体" w:eastAsia="宋体" w:cs="宋体"/>
          <w:color w:val="000000" w:themeColor="text1"/>
          <w:sz w:val="24"/>
          <w:szCs w:val="24"/>
          <w14:textFill>
            <w14:solidFill>
              <w14:schemeClr w14:val="tx1"/>
            </w14:solidFill>
          </w14:textFill>
        </w:rPr>
        <w:t>日17时。</w:t>
      </w:r>
    </w:p>
    <w:p>
      <w:pPr>
        <w:widowControl/>
        <w:ind w:firstLine="482" w:firstLineChars="200"/>
        <w:jc w:val="left"/>
        <w:rPr>
          <w:rFonts w:hint="eastAsia" w:ascii="宋体" w:hAnsi="宋体" w:eastAsia="宋体" w:cs="Times New Roman"/>
          <w:b/>
          <w:bCs/>
          <w:color w:val="000000" w:themeColor="text1"/>
          <w:kern w:val="0"/>
          <w:sz w:val="24"/>
          <w:szCs w:val="24"/>
          <w14:textFill>
            <w14:solidFill>
              <w14:schemeClr w14:val="tx1"/>
            </w14:solidFill>
          </w14:textFill>
        </w:rPr>
      </w:pPr>
      <w:r>
        <w:rPr>
          <w:rFonts w:hint="eastAsia" w:ascii="宋体" w:hAnsi="宋体" w:eastAsia="宋体" w:cs="Times New Roman"/>
          <w:b/>
          <w:bCs/>
          <w:color w:val="000000" w:themeColor="text1"/>
          <w:kern w:val="0"/>
          <w:sz w:val="24"/>
          <w:szCs w:val="24"/>
          <w14:textFill>
            <w14:solidFill>
              <w14:schemeClr w14:val="tx1"/>
            </w14:solidFill>
          </w14:textFill>
        </w:rPr>
        <w:t>（二）资格确认</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聘人员提供的个人信息必须真实有效，证件不全或提供的相关资料与报名资格条件不相符者不予通过。学校对资料齐全，符合要求的应聘人员进行资格确认后，进入测试环节。如岗位报名人数不足招聘指标3倍的，则核减或取消招聘指标。</w:t>
      </w:r>
    </w:p>
    <w:p>
      <w:pPr>
        <w:widowControl/>
        <w:ind w:firstLine="482" w:firstLineChars="200"/>
        <w:jc w:val="left"/>
        <w:rPr>
          <w:rFonts w:hint="eastAsia" w:ascii="宋体" w:hAnsi="宋体" w:eastAsia="宋体" w:cs="Times New Roman"/>
          <w:b/>
          <w:bCs/>
          <w:color w:val="000000" w:themeColor="text1"/>
          <w:kern w:val="0"/>
          <w:sz w:val="24"/>
          <w:szCs w:val="24"/>
          <w14:textFill>
            <w14:solidFill>
              <w14:schemeClr w14:val="tx1"/>
            </w14:solidFill>
          </w14:textFill>
        </w:rPr>
      </w:pPr>
      <w:r>
        <w:rPr>
          <w:rFonts w:hint="eastAsia" w:ascii="宋体" w:hAnsi="宋体" w:eastAsia="宋体" w:cs="Times New Roman"/>
          <w:b/>
          <w:bCs/>
          <w:color w:val="000000" w:themeColor="text1"/>
          <w:kern w:val="0"/>
          <w:sz w:val="24"/>
          <w:szCs w:val="24"/>
          <w14:textFill>
            <w14:solidFill>
              <w14:schemeClr w14:val="tx1"/>
            </w14:solidFill>
          </w14:textFill>
        </w:rPr>
        <w:t>（三）测试</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通过资格确认的应聘者将收到相应的电子邮件，并需根据邮件要求及时回复，准时参加测试(未按要求回复邮件者将不再另行通知并视作放弃)。</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测试含教育教学素养评估和教育教学能力测试环节：</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教育教学素养评估</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教育教学素养评估形式以面谈为主，主要考察应聘者的综合素养(包括教育教学观念、举止仪表、语言表达、综合分析、心理素质、才艺特长等)。满分100分，不足60分的淘汰。</w:t>
      </w:r>
      <w:bookmarkStart w:id="0" w:name="_GoBack"/>
      <w:bookmarkEnd w:id="0"/>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 教育教学能力测试</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通过教育教学素养评估的应聘者进入教育教学能力测试。教育教学能力测试采用学科专业测试和课堂实操测试相结合的形式进行。</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（1）学科专业测试</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学科专业测试主要考察应聘者的专业知识。学科专业测试后，按学科划定测试成绩合格分。学科专业测试满分为100分。应聘者测试成绩平均分在60分以上，则60分为合格成绩;若测试成绩平均分在60分以下的，则以平均分为合格成绩。学科专业测试成绩不合格者不得进入课堂实操测试环节。应聘人员凭本人身份证参加学科专业测试。</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（2）课堂实操测试</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对合格考生根据学科专业测试成绩，从高分到低分按1:3的比例确定入围课堂实操测试人员(不足的按实际人数)。入围课堂实操测试人员放弃或被取消资格，在学科专业测试合格者中,按成绩从高到低依次递补。</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课堂实操测试形式为上课或试讲(说课)，该环节主要考察和测评应聘者的教育教学能力(包括专业知识、课堂教学、操作技能等)。面试满分为100分,不到60分为不合格，面试不合格者直接淘汰。</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（3）教育教学能力成绩计算</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教育教学能力成绩=学科专业测试成绩的40%+课堂实操测试成绩的60%。</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 总成绩计算方式及签订就业协议书</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总成绩=教育教学素养评估成绩的30%+教育教学能力测试成绩的70%。根据总成绩，从高分到低分按招聘指标等额确定签约对象。如遇总分相同的,教育教学能力测试成绩高者为签约对象。学校与签约对象及时签订就业协议书。除协议书约定的条款外，如拟</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者考察、体检不合格的，协议自动解除。</w:t>
      </w:r>
    </w:p>
    <w:p>
      <w:pPr>
        <w:widowControl/>
        <w:ind w:firstLine="482" w:firstLineChars="200"/>
        <w:jc w:val="left"/>
        <w:rPr>
          <w:rFonts w:hint="eastAsia" w:ascii="宋体" w:hAnsi="宋体" w:eastAsia="宋体" w:cs="Times New Roman"/>
          <w:b/>
          <w:bCs/>
          <w:color w:val="000000" w:themeColor="text1"/>
          <w:kern w:val="0"/>
          <w:sz w:val="24"/>
          <w:szCs w:val="24"/>
          <w14:textFill>
            <w14:solidFill>
              <w14:schemeClr w14:val="tx1"/>
            </w14:solidFill>
          </w14:textFill>
        </w:rPr>
      </w:pPr>
      <w:r>
        <w:rPr>
          <w:rFonts w:hint="eastAsia" w:ascii="宋体" w:hAnsi="宋体" w:eastAsia="宋体" w:cs="Times New Roman"/>
          <w:b/>
          <w:bCs/>
          <w:color w:val="000000" w:themeColor="text1"/>
          <w:kern w:val="0"/>
          <w:sz w:val="24"/>
          <w:szCs w:val="24"/>
          <w14:textFill>
            <w14:solidFill>
              <w14:schemeClr w14:val="tx1"/>
            </w14:solidFill>
          </w14:textFill>
        </w:rPr>
        <w:t>（四）体检</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体检人数与录取岗位数按1:1确定。体检参照公务员体检标准执行。体检不合格者淘汰。不按规定时间、地点参加体检的,视作放弃体检。体检费用由考生自理。体检具体时间及地点另行通知。</w:t>
      </w:r>
    </w:p>
    <w:p>
      <w:pPr>
        <w:widowControl/>
        <w:ind w:firstLine="482" w:firstLineChars="200"/>
        <w:jc w:val="left"/>
        <w:rPr>
          <w:rFonts w:hint="default" w:ascii="宋体" w:hAnsi="宋体" w:eastAsia="宋体" w:cs="Times New Roman"/>
          <w:b/>
          <w:bCs/>
          <w:color w:val="000000" w:themeColor="text1"/>
          <w:kern w:val="0"/>
          <w:sz w:val="24"/>
          <w:szCs w:val="24"/>
          <w:lang w:val="en-US" w:eastAsia="zh-CN"/>
          <w14:textFill>
            <w14:solidFill>
              <w14:schemeClr w14:val="tx1"/>
            </w14:solidFill>
          </w14:textFill>
        </w:rPr>
      </w:pPr>
      <w:r>
        <w:rPr>
          <w:rFonts w:hint="eastAsia" w:ascii="宋体" w:hAnsi="宋体" w:eastAsia="宋体" w:cs="Times New Roman"/>
          <w:b/>
          <w:bCs/>
          <w:color w:val="000000" w:themeColor="text1"/>
          <w:kern w:val="0"/>
          <w:sz w:val="24"/>
          <w:szCs w:val="24"/>
          <w14:textFill>
            <w14:solidFill>
              <w14:schemeClr w14:val="tx1"/>
            </w14:solidFill>
          </w14:textFill>
        </w:rPr>
        <w:t>（五）考</w:t>
      </w:r>
      <w:r>
        <w:rPr>
          <w:rFonts w:hint="eastAsia" w:ascii="宋体" w:hAnsi="宋体" w:eastAsia="宋体" w:cs="宋体"/>
          <w:b/>
          <w:bCs/>
          <w:color w:val="000000" w:themeColor="text1"/>
          <w:sz w:val="24"/>
          <w:szCs w:val="24"/>
          <w14:textFill>
            <w14:solidFill>
              <w14:schemeClr w14:val="tx1"/>
            </w14:solidFill>
          </w14:textFill>
        </w:rPr>
        <w:t>察</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考察参照公务员考察办法执行，主要考察应聘者的政治思想表现、道德品质、教师职业意识、业务能力、工作实绩等。</w:t>
      </w:r>
    </w:p>
    <w:p>
      <w:pPr>
        <w:widowControl/>
        <w:ind w:firstLine="482" w:firstLineChars="200"/>
        <w:jc w:val="left"/>
        <w:rPr>
          <w:rFonts w:hint="eastAsia" w:ascii="宋体" w:hAnsi="宋体" w:eastAsia="宋体" w:cs="Times New Roman"/>
          <w:b/>
          <w:bCs/>
          <w:color w:val="000000" w:themeColor="text1"/>
          <w:kern w:val="0"/>
          <w:sz w:val="24"/>
          <w:szCs w:val="24"/>
          <w14:textFill>
            <w14:solidFill>
              <w14:schemeClr w14:val="tx1"/>
            </w14:solidFill>
          </w14:textFill>
        </w:rPr>
      </w:pPr>
      <w:r>
        <w:rPr>
          <w:rFonts w:hint="eastAsia" w:ascii="宋体" w:hAnsi="宋体" w:eastAsia="宋体" w:cs="Times New Roman"/>
          <w:b/>
          <w:bCs/>
          <w:color w:val="000000" w:themeColor="text1"/>
          <w:kern w:val="0"/>
          <w:sz w:val="24"/>
          <w:szCs w:val="24"/>
          <w14:textFill>
            <w14:solidFill>
              <w14:schemeClr w14:val="tx1"/>
            </w14:solidFill>
          </w14:textFill>
        </w:rPr>
        <w:t>（六）确定</w:t>
      </w:r>
      <w:r>
        <w:rPr>
          <w:rFonts w:hint="eastAsia" w:ascii="宋体" w:hAnsi="宋体" w:eastAsia="宋体" w:cs="Times New Roman"/>
          <w:b/>
          <w:bCs/>
          <w:color w:val="000000" w:themeColor="text1"/>
          <w:kern w:val="0"/>
          <w:sz w:val="24"/>
          <w:szCs w:val="24"/>
          <w:lang w:eastAsia="zh-CN"/>
          <w14:textFill>
            <w14:solidFill>
              <w14:schemeClr w14:val="tx1"/>
            </w14:solidFill>
          </w14:textFill>
        </w:rPr>
        <w:t>聘用</w:t>
      </w:r>
      <w:r>
        <w:rPr>
          <w:rFonts w:hint="eastAsia" w:ascii="宋体" w:hAnsi="宋体" w:eastAsia="宋体" w:cs="Times New Roman"/>
          <w:b/>
          <w:bCs/>
          <w:color w:val="000000" w:themeColor="text1"/>
          <w:kern w:val="0"/>
          <w:sz w:val="24"/>
          <w:szCs w:val="24"/>
          <w14:textFill>
            <w14:solidFill>
              <w14:schemeClr w14:val="tx1"/>
            </w14:solidFill>
          </w14:textFill>
        </w:rPr>
        <w:t>人选</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体检、考察合格的签约人员名单报嵊州市教体局、市人力资源和社会保障局办理拟</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人员核准手续。市教体局、市人力资源和社会保障局核准后，将拟</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人员名单在嵊州市人民政府门户网站进行为期7个工作日的公示。公示无异议的，于2024年8月份办理事业</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手续。不能在2024年7月31日前取得规定学历学位或不能在规定时间内取得相应学科的教师资格证等相关证书的，取消</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资格；公示期间有异议的，经核实不具备</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条件的，取消</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资格。</w:t>
      </w:r>
    </w:p>
    <w:p>
      <w:pPr>
        <w:widowControl/>
        <w:ind w:left="538" w:leftChars="256" w:firstLine="0" w:firstLineChars="0"/>
        <w:jc w:val="left"/>
        <w:rPr>
          <w:rFonts w:ascii="华文宋体" w:hAnsi="华文宋体" w:eastAsia="华文宋体" w:cs="宋体"/>
          <w:b/>
          <w:bCs/>
          <w:color w:val="000000" w:themeColor="text1"/>
          <w:kern w:val="0"/>
          <w:sz w:val="27"/>
          <w:szCs w:val="27"/>
          <w14:textFill>
            <w14:solidFill>
              <w14:schemeClr w14:val="tx1"/>
            </w14:solidFill>
          </w14:textFill>
        </w:rPr>
      </w:pPr>
      <w:r>
        <w:rPr>
          <w:rFonts w:ascii="华文宋体" w:hAnsi="华文宋体" w:eastAsia="华文宋体" w:cs="宋体"/>
          <w:b/>
          <w:bCs/>
          <w:color w:val="000000" w:themeColor="text1"/>
          <w:kern w:val="0"/>
          <w:sz w:val="27"/>
          <w:szCs w:val="27"/>
          <w14:textFill>
            <w14:solidFill>
              <w14:schemeClr w14:val="tx1"/>
            </w14:solidFill>
          </w14:textFill>
        </w:rPr>
        <w:t>六、其他事项</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拟</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人员正式报到前，如发现个人档案不符合报考条件或</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规定的，取消</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资格。拟</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人员逾期不按规定报到的取消</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资格。</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 因在体检、考察中放弃或体检、考察不合格而产生的缺额，是否在报考该岗位的合格人员中按高分到低分递补经招聘单位研究后决定。</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3. </w:t>
      </w:r>
      <w:r>
        <w:rPr>
          <w:rFonts w:hint="eastAsia" w:ascii="宋体" w:hAnsi="宋体" w:eastAsia="宋体" w:cs="宋体"/>
          <w:color w:val="000000" w:themeColor="text1"/>
          <w:sz w:val="24"/>
          <w:szCs w:val="24"/>
          <w:lang w:eastAsia="zh-CN"/>
          <w14:textFill>
            <w14:solidFill>
              <w14:schemeClr w14:val="tx1"/>
            </w14:solidFill>
          </w14:textFill>
        </w:rPr>
        <w:t>聘用</w:t>
      </w:r>
      <w:r>
        <w:rPr>
          <w:rFonts w:hint="eastAsia" w:ascii="宋体" w:hAnsi="宋体" w:eastAsia="宋体" w:cs="宋体"/>
          <w:color w:val="000000" w:themeColor="text1"/>
          <w:sz w:val="24"/>
          <w:szCs w:val="24"/>
          <w14:textFill>
            <w14:solidFill>
              <w14:schemeClr w14:val="tx1"/>
            </w14:solidFill>
          </w14:textFill>
        </w:rPr>
        <w:t>人员按有关规定与学校签订聘用合同，并约定试用期，试用期满经考核合格，能胜任教育教学工作的，与学校签订正式聘用合同。如试用期满经考核不能胜任教育教学工作或一年内(截止2025年7月31日)不能取得相应教师资格证书的，解除聘用关系。</w:t>
      </w:r>
    </w:p>
    <w:p>
      <w:pPr>
        <w:pStyle w:val="2"/>
        <w:spacing w:before="0" w:beforeAutospacing="0" w:after="0" w:afterAutospacing="0" w:line="440" w:lineRule="exact"/>
        <w:ind w:firstLine="480"/>
        <w:rPr>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4. </w:t>
      </w:r>
      <w:r>
        <w:rPr>
          <w:rFonts w:hint="eastAsia"/>
          <w:color w:val="000000" w:themeColor="text1"/>
          <w14:textFill>
            <w14:solidFill>
              <w14:schemeClr w14:val="tx1"/>
            </w14:solidFill>
          </w14:textFill>
        </w:rPr>
        <w:t>本次公开招聘的信息均在嵊州市人民政府门户网站（http://www.szzj.gov.cn/col/col1562674/index.html）公布。</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 本次公开招聘咨询电话： </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13958221925（陈老师）</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13588519572（黄老师）</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 为接受社会监督，嵊州市教育体育局设立监督电话：0575-83278265（党建科）。</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附件</w:t>
      </w: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镇海中学嵊州分校公开招聘事业编制教师需求计划表。</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附件</w:t>
      </w: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镇海中学嵊州分校2023年秋季教师招聘报名表。</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附件</w:t>
      </w: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报名材料清单。</w:t>
      </w:r>
    </w:p>
    <w:p>
      <w:pPr>
        <w:widowControl/>
        <w:spacing w:line="360" w:lineRule="auto"/>
        <w:ind w:firstLine="480" w:firstLineChars="200"/>
        <w:jc w:val="right"/>
        <w:rPr>
          <w:rFonts w:hint="eastAsia" w:ascii="宋体" w:hAnsi="宋体" w:eastAsia="宋体" w:cs="宋体"/>
          <w:color w:val="000000" w:themeColor="text1"/>
          <w:sz w:val="24"/>
          <w:szCs w:val="24"/>
          <w14:textFill>
            <w14:solidFill>
              <w14:schemeClr w14:val="tx1"/>
            </w14:solidFill>
          </w14:textFill>
        </w:rPr>
      </w:pPr>
    </w:p>
    <w:p>
      <w:pPr>
        <w:widowControl/>
        <w:spacing w:line="360" w:lineRule="auto"/>
        <w:ind w:firstLine="480" w:firstLineChars="200"/>
        <w:jc w:val="right"/>
        <w:rPr>
          <w:rFonts w:hint="eastAsia" w:ascii="宋体" w:hAnsi="宋体" w:eastAsia="宋体" w:cs="宋体"/>
          <w:color w:val="000000" w:themeColor="text1"/>
          <w:sz w:val="24"/>
          <w:szCs w:val="24"/>
          <w14:textFill>
            <w14:solidFill>
              <w14:schemeClr w14:val="tx1"/>
            </w14:solidFill>
          </w14:textFill>
        </w:rPr>
      </w:pPr>
    </w:p>
    <w:p>
      <w:pPr>
        <w:widowControl/>
        <w:spacing w:line="360" w:lineRule="auto"/>
        <w:ind w:firstLine="480" w:firstLineChars="200"/>
        <w:jc w:val="right"/>
        <w:rPr>
          <w:rFonts w:hint="eastAsia" w:ascii="宋体" w:hAnsi="宋体" w:eastAsia="宋体" w:cs="宋体"/>
          <w:color w:val="000000" w:themeColor="text1"/>
          <w:sz w:val="24"/>
          <w:szCs w:val="24"/>
          <w14:textFill>
            <w14:solidFill>
              <w14:schemeClr w14:val="tx1"/>
            </w14:solidFill>
          </w14:textFill>
        </w:rPr>
      </w:pPr>
    </w:p>
    <w:p>
      <w:pPr>
        <w:widowControl/>
        <w:spacing w:line="360" w:lineRule="auto"/>
        <w:ind w:firstLine="480" w:firstLineChars="200"/>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镇海中学嵊州分校</w:t>
      </w:r>
    </w:p>
    <w:p>
      <w:pPr>
        <w:widowControl/>
        <w:spacing w:line="360" w:lineRule="auto"/>
        <w:ind w:firstLine="480" w:firstLineChars="200"/>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202</w:t>
      </w: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年1</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31</w:t>
      </w:r>
      <w:r>
        <w:rPr>
          <w:rFonts w:hint="eastAsia" w:ascii="宋体" w:hAnsi="宋体" w:eastAsia="宋体" w:cs="宋体"/>
          <w:color w:val="000000" w:themeColor="text1"/>
          <w:sz w:val="24"/>
          <w:szCs w:val="24"/>
          <w14:textFill>
            <w14:solidFill>
              <w14:schemeClr w14:val="tx1"/>
            </w14:solidFill>
          </w14:textFill>
        </w:rPr>
        <w:t>日</w:t>
      </w:r>
    </w:p>
    <w:p>
      <w:pPr>
        <w:widowControl/>
        <w:spacing w:line="360" w:lineRule="auto"/>
        <w:ind w:firstLine="480" w:firstLineChars="200"/>
        <w:rPr>
          <w:rFonts w:hint="eastAsia" w:ascii="宋体" w:hAnsi="宋体" w:eastAsia="宋体" w:cs="宋体"/>
          <w:color w:val="000000" w:themeColor="text1"/>
          <w:sz w:val="24"/>
          <w:szCs w:val="24"/>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auto"/>
        <w:rPr>
          <w:rFonts w:ascii="仿宋_GB2312" w:hAnsi="仿宋_GB2312"/>
          <w:b w:val="0"/>
          <w:bCs w:val="0"/>
          <w:color w:val="000000" w:themeColor="text1"/>
          <w:sz w:val="28"/>
          <w:szCs w:val="28"/>
          <w14:textFill>
            <w14:solidFill>
              <w14:schemeClr w14:val="tx1"/>
            </w14:solidFill>
          </w14:textFill>
        </w:rPr>
      </w:pPr>
      <w:r>
        <w:rPr>
          <w:rFonts w:hint="eastAsia" w:ascii="仿宋_GB2312" w:hAnsi="仿宋_GB2312"/>
          <w:b w:val="0"/>
          <w:bCs w:val="0"/>
          <w:color w:val="000000" w:themeColor="text1"/>
          <w:sz w:val="28"/>
          <w:szCs w:val="28"/>
          <w14:textFill>
            <w14:solidFill>
              <w14:schemeClr w14:val="tx1"/>
            </w14:solidFill>
          </w14:textFill>
        </w:rPr>
        <w:t>附件1</w:t>
      </w:r>
    </w:p>
    <w:p>
      <w:pPr>
        <w:tabs>
          <w:tab w:val="left" w:pos="6810"/>
        </w:tabs>
        <w:spacing w:line="360" w:lineRule="auto"/>
        <w:ind w:right="360"/>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镇海中学嵊州分校公开招聘事业编制教师</w:t>
      </w:r>
      <w:r>
        <w:rPr>
          <w:rFonts w:hint="eastAsia" w:ascii="黑体" w:hAnsi="黑体" w:eastAsia="黑体" w:cs="黑体"/>
          <w:color w:val="000000" w:themeColor="text1"/>
          <w:sz w:val="32"/>
          <w:szCs w:val="32"/>
          <w14:textFill>
            <w14:solidFill>
              <w14:schemeClr w14:val="tx1"/>
            </w14:solidFill>
          </w14:textFill>
        </w:rPr>
        <w:t>需求计划表</w:t>
      </w:r>
    </w:p>
    <w:p>
      <w:pPr>
        <w:tabs>
          <w:tab w:val="left" w:pos="6810"/>
        </w:tabs>
        <w:spacing w:line="360" w:lineRule="auto"/>
        <w:ind w:right="360"/>
        <w:jc w:val="center"/>
        <w:rPr>
          <w:rFonts w:ascii="方正小标宋简体" w:hAnsi="方正小标宋简体" w:eastAsia="方正小标宋简体" w:cs="方正小标宋简体"/>
          <w:color w:val="000000" w:themeColor="text1"/>
          <w:sz w:val="36"/>
          <w:szCs w:val="36"/>
          <w14:textFill>
            <w14:solidFill>
              <w14:schemeClr w14:val="tx1"/>
            </w14:solidFill>
          </w14:textFill>
        </w:rPr>
      </w:pPr>
    </w:p>
    <w:tbl>
      <w:tblPr>
        <w:tblStyle w:val="3"/>
        <w:tblW w:w="885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303"/>
        <w:gridCol w:w="1035"/>
        <w:gridCol w:w="652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10" w:hRule="atLeast"/>
          <w:jc w:val="center"/>
        </w:trPr>
        <w:tc>
          <w:tcPr>
            <w:tcW w:w="1303" w:type="dxa"/>
            <w:vAlign w:val="center"/>
          </w:tcPr>
          <w:p>
            <w:pPr>
              <w:widowControl/>
              <w:jc w:val="center"/>
              <w:rPr>
                <w:rFonts w:ascii="微软雅黑" w:hAnsi="微软雅黑" w:eastAsia="微软雅黑"/>
                <w:b/>
                <w:bCs/>
                <w:color w:val="000000" w:themeColor="text1"/>
                <w:kern w:val="0"/>
                <w14:textFill>
                  <w14:solidFill>
                    <w14:schemeClr w14:val="tx1"/>
                  </w14:solidFill>
                </w14:textFill>
              </w:rPr>
            </w:pPr>
            <w:r>
              <w:rPr>
                <w:rFonts w:hint="eastAsia" w:ascii="微软雅黑" w:hAnsi="微软雅黑" w:eastAsia="微软雅黑" w:cs="宋体"/>
                <w:b/>
                <w:bCs/>
                <w:color w:val="000000" w:themeColor="text1"/>
                <w:kern w:val="0"/>
                <w14:textFill>
                  <w14:solidFill>
                    <w14:schemeClr w14:val="tx1"/>
                  </w14:solidFill>
                </w14:textFill>
              </w:rPr>
              <w:t>招聘岗位</w:t>
            </w:r>
          </w:p>
        </w:tc>
        <w:tc>
          <w:tcPr>
            <w:tcW w:w="1035" w:type="dxa"/>
            <w:vAlign w:val="center"/>
          </w:tcPr>
          <w:p>
            <w:pPr>
              <w:widowControl/>
              <w:jc w:val="center"/>
              <w:rPr>
                <w:rFonts w:ascii="微软雅黑" w:hAnsi="微软雅黑" w:eastAsia="微软雅黑"/>
                <w:b/>
                <w:bCs/>
                <w:color w:val="000000" w:themeColor="text1"/>
                <w:kern w:val="0"/>
                <w14:textFill>
                  <w14:solidFill>
                    <w14:schemeClr w14:val="tx1"/>
                  </w14:solidFill>
                </w14:textFill>
              </w:rPr>
            </w:pPr>
            <w:r>
              <w:rPr>
                <w:rFonts w:hint="eastAsia" w:ascii="微软雅黑" w:hAnsi="微软雅黑" w:eastAsia="微软雅黑" w:cs="宋体"/>
                <w:b/>
                <w:bCs/>
                <w:color w:val="000000" w:themeColor="text1"/>
                <w:kern w:val="0"/>
                <w14:textFill>
                  <w14:solidFill>
                    <w14:schemeClr w14:val="tx1"/>
                  </w14:solidFill>
                </w14:textFill>
              </w:rPr>
              <w:t>岗位数</w:t>
            </w:r>
          </w:p>
        </w:tc>
        <w:tc>
          <w:tcPr>
            <w:tcW w:w="6521" w:type="dxa"/>
            <w:vAlign w:val="center"/>
          </w:tcPr>
          <w:p>
            <w:pPr>
              <w:widowControl/>
              <w:jc w:val="center"/>
              <w:rPr>
                <w:rFonts w:ascii="微软雅黑" w:hAnsi="微软雅黑" w:eastAsia="微软雅黑"/>
                <w:b/>
                <w:bCs/>
                <w:color w:val="000000" w:themeColor="text1"/>
                <w:kern w:val="0"/>
                <w14:textFill>
                  <w14:solidFill>
                    <w14:schemeClr w14:val="tx1"/>
                  </w14:solidFill>
                </w14:textFill>
              </w:rPr>
            </w:pPr>
            <w:r>
              <w:rPr>
                <w:rFonts w:hint="eastAsia" w:ascii="微软雅黑" w:hAnsi="微软雅黑" w:eastAsia="微软雅黑" w:cs="宋体"/>
                <w:b/>
                <w:bCs/>
                <w:color w:val="000000" w:themeColor="text1"/>
                <w:kern w:val="0"/>
                <w14:textFill>
                  <w14:solidFill>
                    <w14:schemeClr w14:val="tx1"/>
                  </w14:solidFill>
                </w14:textFill>
              </w:rPr>
              <w:t>招聘专业要求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1"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语文</w:t>
            </w:r>
          </w:p>
        </w:tc>
        <w:tc>
          <w:tcPr>
            <w:tcW w:w="1035" w:type="dxa"/>
            <w:shd w:val="clear" w:color="CCFFCC" w:fill="FFFFFF"/>
            <w:vAlign w:val="center"/>
          </w:tcPr>
          <w:p>
            <w:pPr>
              <w:widowControl/>
              <w:jc w:val="center"/>
              <w:rPr>
                <w:rFonts w:hint="eastAsia"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4</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汉语言文学，汉语言，</w:t>
            </w:r>
            <w:r>
              <w:rPr>
                <w:rFonts w:hint="eastAsia" w:ascii="微软雅黑" w:hAnsi="微软雅黑" w:eastAsia="微软雅黑" w:cs="微软雅黑"/>
                <w:bCs/>
                <w:color w:val="000000" w:themeColor="text1"/>
                <w:kern w:val="0"/>
                <w14:textFill>
                  <w14:solidFill>
                    <w14:schemeClr w14:val="tx1"/>
                  </w14:solidFill>
                </w14:textFill>
              </w:rPr>
              <w:t>应用语言学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6"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数学</w:t>
            </w:r>
          </w:p>
        </w:tc>
        <w:tc>
          <w:tcPr>
            <w:tcW w:w="1035" w:type="dxa"/>
            <w:shd w:val="clear" w:color="CCFFCC" w:fill="FFFFFF"/>
            <w:vAlign w:val="center"/>
          </w:tcPr>
          <w:p>
            <w:pPr>
              <w:widowControl/>
              <w:jc w:val="center"/>
              <w:rPr>
                <w:rFonts w:hint="eastAsia"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4</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数学与应用数学，数理基础科学，信息与计算科学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1"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英语</w:t>
            </w:r>
          </w:p>
        </w:tc>
        <w:tc>
          <w:tcPr>
            <w:tcW w:w="1035" w:type="dxa"/>
            <w:shd w:val="clear" w:color="CCFFCC" w:fill="FFFFFF"/>
            <w:vAlign w:val="center"/>
          </w:tcPr>
          <w:p>
            <w:pPr>
              <w:widowControl/>
              <w:jc w:val="center"/>
              <w:rPr>
                <w:rFonts w:hint="eastAsia"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4</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英语，翻译</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6"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科学</w:t>
            </w:r>
          </w:p>
        </w:tc>
        <w:tc>
          <w:tcPr>
            <w:tcW w:w="1035" w:type="dxa"/>
            <w:shd w:val="clear" w:color="CCFFCC" w:fill="FFFFFF"/>
            <w:vAlign w:val="center"/>
          </w:tcPr>
          <w:p>
            <w:pPr>
              <w:widowControl/>
              <w:jc w:val="center"/>
              <w:rPr>
                <w:rFonts w:hint="eastAsia"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4</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物理学，应用物理学，化学，应用化学，化学工程与工艺，生物科学，生物技术，生物信息学，生态学，科学教育</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43"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社政</w:t>
            </w:r>
          </w:p>
        </w:tc>
        <w:tc>
          <w:tcPr>
            <w:tcW w:w="1035" w:type="dxa"/>
            <w:shd w:val="clear" w:color="CCFFCC" w:fill="FFFFFF"/>
            <w:vAlign w:val="center"/>
          </w:tcPr>
          <w:p>
            <w:pPr>
              <w:widowControl/>
              <w:jc w:val="center"/>
              <w:rPr>
                <w:rFonts w:hint="eastAsia"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2</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历史学，世界史,</w:t>
            </w:r>
            <w:r>
              <w:rPr>
                <w:rFonts w:hint="eastAsia"/>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地理科学，自然地理与资源环境，人文地理与城乡规划，地理信息科学，思想政治教育，国际政治，政治学与行政学，政治学、经济学与哲学。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87"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音乐</w:t>
            </w:r>
          </w:p>
        </w:tc>
        <w:tc>
          <w:tcPr>
            <w:tcW w:w="1035" w:type="dxa"/>
            <w:shd w:val="clear" w:color="FFFF00" w:fill="FFFFFF"/>
            <w:vAlign w:val="center"/>
          </w:tcPr>
          <w:p>
            <w:pPr>
              <w:widowControl/>
              <w:jc w:val="center"/>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1</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音乐学、音乐教育、音乐表演</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7"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体育</w:t>
            </w:r>
          </w:p>
        </w:tc>
        <w:tc>
          <w:tcPr>
            <w:tcW w:w="1035" w:type="dxa"/>
            <w:shd w:val="clear" w:color="FFFF00" w:fill="FFFFFF"/>
            <w:vAlign w:val="center"/>
          </w:tcPr>
          <w:p>
            <w:pPr>
              <w:widowControl/>
              <w:jc w:val="center"/>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2</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体育教育，运动训练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7"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美术</w:t>
            </w:r>
          </w:p>
        </w:tc>
        <w:tc>
          <w:tcPr>
            <w:tcW w:w="1035" w:type="dxa"/>
            <w:shd w:val="clear" w:color="FFFF00" w:fill="FFFFFF"/>
            <w:vAlign w:val="center"/>
          </w:tcPr>
          <w:p>
            <w:pPr>
              <w:widowControl/>
              <w:jc w:val="center"/>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1</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美术学，绘画，艺术设计学，视觉传达设计，中国画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7" w:hRule="atLeast"/>
          <w:jc w:val="center"/>
        </w:trPr>
        <w:tc>
          <w:tcPr>
            <w:tcW w:w="1303" w:type="dxa"/>
            <w:shd w:val="clear" w:color="CCFFCC" w:fill="FFFFFF"/>
            <w:vAlign w:val="center"/>
          </w:tcPr>
          <w:p>
            <w:pPr>
              <w:widowControl/>
              <w:jc w:val="center"/>
              <w:rPr>
                <w:rFonts w:ascii="微软雅黑" w:hAnsi="微软雅黑" w:eastAsia="微软雅黑" w:cs="微软雅黑"/>
                <w:b/>
                <w:bCs/>
                <w:color w:val="000000" w:themeColor="text1"/>
                <w14:textFill>
                  <w14:solidFill>
                    <w14:schemeClr w14:val="tx1"/>
                  </w14:solidFill>
                </w14:textFill>
              </w:rPr>
            </w:pPr>
            <w:r>
              <w:rPr>
                <w:rFonts w:hint="eastAsia" w:ascii="微软雅黑" w:hAnsi="微软雅黑" w:eastAsia="微软雅黑" w:cs="微软雅黑"/>
                <w:b/>
                <w:bCs/>
                <w:color w:val="000000" w:themeColor="text1"/>
                <w14:textFill>
                  <w14:solidFill>
                    <w14:schemeClr w14:val="tx1"/>
                  </w14:solidFill>
                </w14:textFill>
              </w:rPr>
              <w:t>信息技术</w:t>
            </w:r>
          </w:p>
        </w:tc>
        <w:tc>
          <w:tcPr>
            <w:tcW w:w="1035" w:type="dxa"/>
            <w:shd w:val="clear" w:color="FFFF00" w:fill="FFFFFF"/>
            <w:vAlign w:val="center"/>
          </w:tcPr>
          <w:p>
            <w:pPr>
              <w:widowControl/>
              <w:jc w:val="center"/>
              <w:rPr>
                <w:rFonts w:hint="eastAsia"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2</w:t>
            </w:r>
          </w:p>
        </w:tc>
        <w:tc>
          <w:tcPr>
            <w:tcW w:w="6521" w:type="dxa"/>
            <w:shd w:val="clear" w:color="CCFFCC" w:fill="FFFFFF"/>
            <w:vAlign w:val="center"/>
          </w:tcPr>
          <w:p>
            <w:pPr>
              <w:widowControl/>
              <w:jc w:val="left"/>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电子与计算机工程，计算机科学与技术，电子信息科学与技术，教育技术学，空间信息与数字技术，应用电子技术教育。</w:t>
            </w:r>
          </w:p>
        </w:tc>
      </w:tr>
    </w:tbl>
    <w:p>
      <w:pPr>
        <w:spacing w:line="360" w:lineRule="auto"/>
        <w:ind w:firstLine="200" w:firstLineChars="100"/>
        <w:rPr>
          <w:rFonts w:ascii="微软雅黑" w:hAnsi="微软雅黑" w:eastAsia="微软雅黑" w:cs="宋体"/>
          <w:color w:val="000000" w:themeColor="text1"/>
          <w:sz w:val="20"/>
          <w:szCs w:val="20"/>
          <w14:textFill>
            <w14:solidFill>
              <w14:schemeClr w14:val="tx1"/>
            </w14:solidFill>
          </w14:textFill>
        </w:rPr>
      </w:pPr>
      <w:r>
        <w:rPr>
          <w:rFonts w:hint="eastAsia" w:ascii="微软雅黑" w:hAnsi="微软雅黑" w:eastAsia="微软雅黑" w:cs="宋体"/>
          <w:color w:val="000000" w:themeColor="text1"/>
          <w:sz w:val="20"/>
          <w:szCs w:val="20"/>
          <w14:textFill>
            <w14:solidFill>
              <w14:schemeClr w14:val="tx1"/>
            </w14:solidFill>
          </w14:textFill>
        </w:rPr>
        <w:t>注：历届生具有与报考学科相匹配的教师资格证或职称证书(以本人已取得的最高层次职称证书为准）</w:t>
      </w:r>
    </w:p>
    <w:p>
      <w:pPr>
        <w:spacing w:line="360" w:lineRule="auto"/>
        <w:rPr>
          <w:rFonts w:ascii="仿宋_GB2312" w:hAnsi="仿宋_GB2312"/>
          <w:b/>
          <w:bCs/>
          <w:color w:val="000000" w:themeColor="text1"/>
          <w:sz w:val="28"/>
          <w:szCs w:val="28"/>
          <w14:textFill>
            <w14:solidFill>
              <w14:schemeClr w14:val="tx1"/>
            </w14:solidFill>
          </w14:textFill>
        </w:rPr>
      </w:pPr>
    </w:p>
    <w:p>
      <w:pPr>
        <w:spacing w:line="360" w:lineRule="auto"/>
        <w:rPr>
          <w:rFonts w:hint="eastAsia" w:ascii="仿宋_GB2312" w:hAnsi="仿宋_GB2312"/>
          <w:b/>
          <w:bCs/>
          <w:color w:val="000000" w:themeColor="text1"/>
          <w:sz w:val="28"/>
          <w:szCs w:val="28"/>
          <w14:textFill>
            <w14:solidFill>
              <w14:schemeClr w14:val="tx1"/>
            </w14:solidFill>
          </w14:textFill>
        </w:rPr>
      </w:pPr>
    </w:p>
    <w:p>
      <w:pPr>
        <w:spacing w:line="360" w:lineRule="exact"/>
        <w:jc w:val="left"/>
        <w:rPr>
          <w:rFonts w:ascii="仿宋_GB2312" w:hAnsi="仿宋_GB2312"/>
          <w:b/>
          <w:bCs/>
          <w:color w:val="000000" w:themeColor="text1"/>
          <w:sz w:val="28"/>
          <w:szCs w:val="28"/>
          <w14:textFill>
            <w14:solidFill>
              <w14:schemeClr w14:val="tx1"/>
            </w14:solidFill>
          </w14:textFill>
        </w:rPr>
      </w:pPr>
    </w:p>
    <w:p>
      <w:pPr>
        <w:spacing w:line="360" w:lineRule="auto"/>
        <w:rPr>
          <w:rFonts w:ascii="仿宋_GB2312"/>
          <w:b w:val="0"/>
          <w:bCs w:val="0"/>
          <w:color w:val="000000" w:themeColor="text1"/>
          <w:sz w:val="24"/>
          <w:szCs w:val="24"/>
          <w14:textFill>
            <w14:solidFill>
              <w14:schemeClr w14:val="tx1"/>
            </w14:solidFill>
          </w14:textFill>
        </w:rPr>
      </w:pPr>
      <w:r>
        <w:rPr>
          <w:rFonts w:ascii="仿宋_GB2312" w:hAnsi="仿宋_GB2312"/>
          <w:b w:val="0"/>
          <w:bCs w:val="0"/>
          <w:color w:val="000000" w:themeColor="text1"/>
          <w:sz w:val="28"/>
          <w:szCs w:val="28"/>
          <w14:textFill>
            <w14:solidFill>
              <w14:schemeClr w14:val="tx1"/>
            </w14:solidFill>
          </w14:textFill>
        </w:rPr>
        <w:t>附件</w:t>
      </w:r>
      <w:r>
        <w:rPr>
          <w:rFonts w:hint="eastAsia" w:ascii="仿宋_GB2312" w:hAnsi="仿宋_GB2312"/>
          <w:b w:val="0"/>
          <w:bCs w:val="0"/>
          <w:color w:val="000000" w:themeColor="text1"/>
          <w:sz w:val="28"/>
          <w:szCs w:val="28"/>
          <w14:textFill>
            <w14:solidFill>
              <w14:schemeClr w14:val="tx1"/>
            </w14:solidFill>
          </w14:textFill>
        </w:rPr>
        <w:t>2</w:t>
      </w:r>
    </w:p>
    <w:p>
      <w:pPr>
        <w:tabs>
          <w:tab w:val="left" w:pos="6810"/>
        </w:tabs>
        <w:spacing w:line="360" w:lineRule="auto"/>
        <w:ind w:right="360"/>
        <w:jc w:val="center"/>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镇海中学嵊州分校教师招聘报名表</w:t>
      </w:r>
    </w:p>
    <w:p>
      <w:pPr>
        <w:jc w:val="center"/>
        <w:rPr>
          <w:rFonts w:hint="eastAsia" w:ascii="方正小标宋简体" w:hAnsi="宋体" w:cs="宋体"/>
          <w:color w:val="000000" w:themeColor="text1"/>
          <w:sz w:val="22"/>
          <w:szCs w:val="22"/>
          <w14:textFill>
            <w14:solidFill>
              <w14:schemeClr w14:val="tx1"/>
            </w14:solidFill>
          </w14:textFill>
        </w:rPr>
      </w:pPr>
    </w:p>
    <w:tbl>
      <w:tblPr>
        <w:tblStyle w:val="3"/>
        <w:tblW w:w="9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1559"/>
        <w:gridCol w:w="453"/>
        <w:gridCol w:w="965"/>
        <w:gridCol w:w="850"/>
        <w:gridCol w:w="1134"/>
        <w:gridCol w:w="1134"/>
        <w:gridCol w:w="453"/>
        <w:gridCol w:w="451"/>
        <w:gridCol w:w="675"/>
        <w:gridCol w:w="1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姓名</w:t>
            </w:r>
          </w:p>
        </w:tc>
        <w:tc>
          <w:tcPr>
            <w:tcW w:w="155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418"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性别</w:t>
            </w:r>
          </w:p>
        </w:tc>
        <w:tc>
          <w:tcPr>
            <w:tcW w:w="198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13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籍贯</w:t>
            </w:r>
          </w:p>
        </w:tc>
        <w:tc>
          <w:tcPr>
            <w:tcW w:w="90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749" w:type="dxa"/>
            <w:gridSpan w:val="2"/>
            <w:vMerge w:val="restart"/>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出生年月</w:t>
            </w:r>
          </w:p>
        </w:tc>
        <w:tc>
          <w:tcPr>
            <w:tcW w:w="155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418"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政治面貌</w:t>
            </w:r>
          </w:p>
        </w:tc>
        <w:tc>
          <w:tcPr>
            <w:tcW w:w="198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13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户籍</w:t>
            </w:r>
          </w:p>
        </w:tc>
        <w:tc>
          <w:tcPr>
            <w:tcW w:w="90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749" w:type="dxa"/>
            <w:gridSpan w:val="2"/>
            <w:vMerge w:val="continue"/>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联系电话</w:t>
            </w:r>
          </w:p>
        </w:tc>
        <w:tc>
          <w:tcPr>
            <w:tcW w:w="155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418"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高中</w:t>
            </w:r>
          </w:p>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毕业学校</w:t>
            </w:r>
          </w:p>
        </w:tc>
        <w:tc>
          <w:tcPr>
            <w:tcW w:w="198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134" w:type="dxa"/>
            <w:tcBorders>
              <w:top w:val="single" w:color="auto" w:sz="4" w:space="0"/>
              <w:left w:val="nil"/>
              <w:bottom w:val="nil"/>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生源地</w:t>
            </w:r>
          </w:p>
        </w:tc>
        <w:tc>
          <w:tcPr>
            <w:tcW w:w="90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749" w:type="dxa"/>
            <w:gridSpan w:val="2"/>
            <w:vMerge w:val="continue"/>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电子邮箱</w:t>
            </w:r>
          </w:p>
        </w:tc>
        <w:tc>
          <w:tcPr>
            <w:tcW w:w="2977" w:type="dxa"/>
            <w:gridSpan w:val="3"/>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家庭住址</w:t>
            </w:r>
          </w:p>
        </w:tc>
        <w:tc>
          <w:tcPr>
            <w:tcW w:w="3172" w:type="dxa"/>
            <w:gridSpan w:val="4"/>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749" w:type="dxa"/>
            <w:gridSpan w:val="2"/>
            <w:vMerge w:val="continue"/>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学历</w:t>
            </w:r>
          </w:p>
        </w:tc>
        <w:tc>
          <w:tcPr>
            <w:tcW w:w="201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时间</w:t>
            </w:r>
          </w:p>
        </w:tc>
        <w:tc>
          <w:tcPr>
            <w:tcW w:w="2949" w:type="dxa"/>
            <w:gridSpan w:val="3"/>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毕业（在读）学校</w:t>
            </w:r>
          </w:p>
        </w:tc>
        <w:tc>
          <w:tcPr>
            <w:tcW w:w="1587"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专业</w:t>
            </w:r>
          </w:p>
        </w:tc>
        <w:tc>
          <w:tcPr>
            <w:tcW w:w="1126"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专业</w:t>
            </w:r>
          </w:p>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排名</w:t>
            </w:r>
          </w:p>
        </w:tc>
        <w:tc>
          <w:tcPr>
            <w:tcW w:w="107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是否</w:t>
            </w:r>
          </w:p>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全日制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本科□</w:t>
            </w:r>
          </w:p>
        </w:tc>
        <w:tc>
          <w:tcPr>
            <w:tcW w:w="201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w:t>
            </w:r>
          </w:p>
        </w:tc>
        <w:tc>
          <w:tcPr>
            <w:tcW w:w="2949" w:type="dxa"/>
            <w:gridSpan w:val="3"/>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587"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126"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07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硕士□</w:t>
            </w:r>
          </w:p>
        </w:tc>
        <w:tc>
          <w:tcPr>
            <w:tcW w:w="201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w:t>
            </w:r>
          </w:p>
        </w:tc>
        <w:tc>
          <w:tcPr>
            <w:tcW w:w="2949" w:type="dxa"/>
            <w:gridSpan w:val="3"/>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587"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126"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07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博士□</w:t>
            </w:r>
          </w:p>
        </w:tc>
        <w:tc>
          <w:tcPr>
            <w:tcW w:w="201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w:t>
            </w:r>
          </w:p>
        </w:tc>
        <w:tc>
          <w:tcPr>
            <w:tcW w:w="2949" w:type="dxa"/>
            <w:gridSpan w:val="3"/>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587"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126"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07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其他</w:t>
            </w:r>
          </w:p>
        </w:tc>
        <w:tc>
          <w:tcPr>
            <w:tcW w:w="201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w:t>
            </w:r>
          </w:p>
        </w:tc>
        <w:tc>
          <w:tcPr>
            <w:tcW w:w="2949" w:type="dxa"/>
            <w:gridSpan w:val="3"/>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587"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126"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07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工作经历</w:t>
            </w:r>
          </w:p>
        </w:tc>
        <w:tc>
          <w:tcPr>
            <w:tcW w:w="8748" w:type="dxa"/>
            <w:gridSpan w:val="10"/>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p>
            <w:pPr>
              <w:jc w:val="center"/>
              <w:rPr>
                <w:rFonts w:hint="eastAsia" w:ascii="宋体" w:hAnsi="宋体" w:eastAsia="宋体" w:cs="Times New Roman"/>
                <w:color w:val="000000" w:themeColor="text1"/>
                <w:sz w:val="24"/>
                <w:szCs w:val="24"/>
                <w14:textFill>
                  <w14:solidFill>
                    <w14:schemeClr w14:val="tx1"/>
                  </w14:solidFill>
                </w14:textFill>
              </w:rPr>
            </w:pPr>
          </w:p>
          <w:p>
            <w:pPr>
              <w:jc w:val="center"/>
              <w:rPr>
                <w:rFonts w:hint="eastAsia" w:ascii="宋体" w:hAnsi="宋体" w:eastAsia="宋体" w:cs="Times New Roman"/>
                <w:color w:val="000000" w:themeColor="text1"/>
                <w:sz w:val="24"/>
                <w:szCs w:val="24"/>
                <w14:textFill>
                  <w14:solidFill>
                    <w14:schemeClr w14:val="tx1"/>
                  </w14:solidFill>
                </w14:textFill>
              </w:rPr>
            </w:pPr>
          </w:p>
          <w:p>
            <w:pPr>
              <w:jc w:val="center"/>
              <w:rPr>
                <w:rFonts w:hint="eastAsia" w:ascii="宋体" w:hAnsi="宋体" w:eastAsia="宋体" w:cs="Times New Roman"/>
                <w:color w:val="000000" w:themeColor="text1"/>
                <w:sz w:val="24"/>
                <w:szCs w:val="24"/>
                <w14:textFill>
                  <w14:solidFill>
                    <w14:schemeClr w14:val="tx1"/>
                  </w14:solidFill>
                </w14:textFill>
              </w:rPr>
            </w:pPr>
          </w:p>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04" w:type="dxa"/>
            <w:vMerge w:val="restart"/>
            <w:tcBorders>
              <w:top w:val="nil"/>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家庭</w:t>
            </w:r>
          </w:p>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主要</w:t>
            </w:r>
          </w:p>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成员</w:t>
            </w:r>
          </w:p>
        </w:tc>
        <w:tc>
          <w:tcPr>
            <w:tcW w:w="155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称呼</w:t>
            </w:r>
          </w:p>
        </w:tc>
        <w:tc>
          <w:tcPr>
            <w:tcW w:w="1418"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姓名</w:t>
            </w:r>
          </w:p>
        </w:tc>
        <w:tc>
          <w:tcPr>
            <w:tcW w:w="198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职业</w:t>
            </w:r>
          </w:p>
        </w:tc>
        <w:tc>
          <w:tcPr>
            <w:tcW w:w="3787" w:type="dxa"/>
            <w:gridSpan w:val="5"/>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工作地址及单位名称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204"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55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418"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98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3787" w:type="dxa"/>
            <w:gridSpan w:val="5"/>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04"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55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418"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98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3787" w:type="dxa"/>
            <w:gridSpan w:val="5"/>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04" w:type="dxa"/>
            <w:vMerge w:val="continue"/>
            <w:tcBorders>
              <w:top w:val="nil"/>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55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418"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1984"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c>
          <w:tcPr>
            <w:tcW w:w="3787" w:type="dxa"/>
            <w:gridSpan w:val="5"/>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120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有何</w:t>
            </w:r>
          </w:p>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特长及</w:t>
            </w:r>
          </w:p>
          <w:p>
            <w:pPr>
              <w:jc w:val="center"/>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奖惩情况</w:t>
            </w:r>
          </w:p>
        </w:tc>
        <w:tc>
          <w:tcPr>
            <w:tcW w:w="8748" w:type="dxa"/>
            <w:gridSpan w:val="10"/>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Times New Roman"/>
                <w:color w:val="000000" w:themeColor="text1"/>
                <w:sz w:val="24"/>
                <w:szCs w:val="24"/>
                <w14:textFill>
                  <w14:solidFill>
                    <w14:schemeClr w14:val="tx1"/>
                  </w14:solidFill>
                </w14:textFill>
              </w:rPr>
            </w:pPr>
          </w:p>
          <w:p>
            <w:pPr>
              <w:jc w:val="center"/>
              <w:rPr>
                <w:rFonts w:hint="eastAsia" w:ascii="宋体" w:hAnsi="宋体" w:eastAsia="宋体" w:cs="Times New Roman"/>
                <w:color w:val="000000" w:themeColor="text1"/>
                <w:sz w:val="24"/>
                <w:szCs w:val="24"/>
                <w14:textFill>
                  <w14:solidFill>
                    <w14:schemeClr w14:val="tx1"/>
                  </w14:solidFill>
                </w14:textFill>
              </w:rPr>
            </w:pPr>
          </w:p>
          <w:p>
            <w:pPr>
              <w:jc w:val="center"/>
              <w:rPr>
                <w:rFonts w:hint="eastAsia" w:ascii="宋体" w:hAnsi="宋体" w:eastAsia="宋体" w:cs="Times New Roman"/>
                <w:color w:val="000000" w:themeColor="text1"/>
                <w:sz w:val="24"/>
                <w:szCs w:val="24"/>
                <w14:textFill>
                  <w14:solidFill>
                    <w14:schemeClr w14:val="tx1"/>
                  </w14:solidFill>
                </w14:textFill>
              </w:rPr>
            </w:pPr>
          </w:p>
          <w:p>
            <w:pPr>
              <w:jc w:val="center"/>
              <w:rPr>
                <w:rFonts w:hint="eastAsia" w:ascii="宋体" w:hAnsi="宋体" w:eastAsia="宋体" w:cs="Times New Roman"/>
                <w:color w:val="000000" w:themeColor="text1"/>
                <w:sz w:val="24"/>
                <w:szCs w:val="24"/>
                <w14:textFill>
                  <w14:solidFill>
                    <w14:schemeClr w14:val="tx1"/>
                  </w14:solidFill>
                </w14:textFill>
              </w:rPr>
            </w:pPr>
          </w:p>
        </w:tc>
      </w:tr>
    </w:tbl>
    <w:p>
      <w:pPr>
        <w:spacing w:line="360" w:lineRule="exact"/>
        <w:jc w:val="left"/>
        <w:rPr>
          <w:rFonts w:ascii="仿宋_GB2312" w:hAnsi="仿宋_GB2312"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 xml:space="preserve">    </w:t>
      </w:r>
      <w:r>
        <w:rPr>
          <w:rFonts w:hint="eastAsia" w:ascii="仿宋_GB2312" w:hAnsi="仿宋_GB2312" w:eastAsia="宋体" w:cs="Times New Roman"/>
          <w:color w:val="000000" w:themeColor="text1"/>
          <w:szCs w:val="21"/>
          <w14:textFill>
            <w14:solidFill>
              <w14:schemeClr w14:val="tx1"/>
            </w14:solidFill>
          </w14:textFill>
        </w:rPr>
        <w:t>说明：1.生源指经高考被高校录取时户口所在地。</w:t>
      </w:r>
    </w:p>
    <w:p>
      <w:pPr>
        <w:spacing w:line="360" w:lineRule="exact"/>
        <w:jc w:val="left"/>
        <w:rPr>
          <w:rFonts w:hint="eastAsia" w:ascii="仿宋_GB2312" w:hAnsi="仿宋_GB2312" w:eastAsia="宋体" w:cs="Times New Roman"/>
          <w:color w:val="000000" w:themeColor="text1"/>
          <w:szCs w:val="21"/>
          <w14:textFill>
            <w14:solidFill>
              <w14:schemeClr w14:val="tx1"/>
            </w14:solidFill>
          </w14:textFill>
        </w:rPr>
      </w:pPr>
      <w:r>
        <w:rPr>
          <w:rFonts w:ascii="仿宋_GB2312" w:hAnsi="仿宋_GB2312" w:eastAsia="宋体" w:cs="Times New Roman"/>
          <w:color w:val="000000" w:themeColor="text1"/>
          <w:szCs w:val="21"/>
          <w14:textFill>
            <w14:solidFill>
              <w14:schemeClr w14:val="tx1"/>
            </w14:solidFill>
          </w14:textFill>
        </w:rPr>
        <w:t xml:space="preserve">          </w:t>
      </w:r>
      <w:r>
        <w:rPr>
          <w:rFonts w:hint="eastAsia" w:ascii="仿宋_GB2312" w:hAnsi="仿宋_GB2312" w:eastAsia="宋体" w:cs="Times New Roman"/>
          <w:color w:val="000000" w:themeColor="text1"/>
          <w:szCs w:val="21"/>
          <w14:textFill>
            <w14:solidFill>
              <w14:schemeClr w14:val="tx1"/>
            </w14:solidFill>
          </w14:textFill>
        </w:rPr>
        <w:t>2</w:t>
      </w:r>
      <w:r>
        <w:rPr>
          <w:rFonts w:ascii="仿宋_GB2312" w:hAnsi="仿宋_GB2312" w:eastAsia="宋体" w:cs="Times New Roman"/>
          <w:color w:val="000000" w:themeColor="text1"/>
          <w:szCs w:val="21"/>
          <w14:textFill>
            <w14:solidFill>
              <w14:schemeClr w14:val="tx1"/>
            </w14:solidFill>
          </w14:textFill>
        </w:rPr>
        <w:t>.此表复印有效。</w:t>
      </w:r>
    </w:p>
    <w:p>
      <w:pPr>
        <w:spacing w:line="360" w:lineRule="exact"/>
        <w:jc w:val="left"/>
        <w:rPr>
          <w:rFonts w:ascii="仿宋_GB2312" w:hAnsi="仿宋_GB2312" w:eastAsia="宋体" w:cs="Times New Roman"/>
          <w:color w:val="000000" w:themeColor="text1"/>
          <w:szCs w:val="21"/>
          <w14:textFill>
            <w14:solidFill>
              <w14:schemeClr w14:val="tx1"/>
            </w14:solidFill>
          </w14:textFill>
        </w:rPr>
      </w:pPr>
    </w:p>
    <w:p>
      <w:pPr>
        <w:spacing w:line="360" w:lineRule="exact"/>
        <w:jc w:val="left"/>
        <w:rPr>
          <w:rFonts w:ascii="仿宋_GB2312"/>
          <w:b w:val="0"/>
          <w:bCs w:val="0"/>
          <w:color w:val="000000" w:themeColor="text1"/>
          <w:sz w:val="28"/>
          <w:szCs w:val="28"/>
          <w14:textFill>
            <w14:solidFill>
              <w14:schemeClr w14:val="tx1"/>
            </w14:solidFill>
          </w14:textFill>
        </w:rPr>
      </w:pPr>
      <w:r>
        <w:rPr>
          <w:rFonts w:ascii="仿宋_GB2312" w:hAnsi="仿宋_GB2312"/>
          <w:b w:val="0"/>
          <w:bCs w:val="0"/>
          <w:color w:val="000000" w:themeColor="text1"/>
          <w:sz w:val="28"/>
          <w:szCs w:val="28"/>
          <w14:textFill>
            <w14:solidFill>
              <w14:schemeClr w14:val="tx1"/>
            </w14:solidFill>
          </w14:textFill>
        </w:rPr>
        <w:t>附件</w:t>
      </w:r>
      <w:r>
        <w:rPr>
          <w:rFonts w:hint="eastAsia" w:ascii="仿宋_GB2312"/>
          <w:b w:val="0"/>
          <w:bCs w:val="0"/>
          <w:color w:val="000000" w:themeColor="text1"/>
          <w:sz w:val="28"/>
          <w:szCs w:val="28"/>
          <w14:textFill>
            <w14:solidFill>
              <w14:schemeClr w14:val="tx1"/>
            </w14:solidFill>
          </w14:textFill>
        </w:rPr>
        <w:t>3</w:t>
      </w:r>
    </w:p>
    <w:p>
      <w:pPr>
        <w:spacing w:line="360" w:lineRule="auto"/>
        <w:jc w:val="left"/>
        <w:rPr>
          <w:rFonts w:ascii="华文中宋" w:hAnsi="华文中宋"/>
          <w:b/>
          <w:bCs/>
          <w:color w:val="000000" w:themeColor="text1"/>
          <w:sz w:val="36"/>
          <w:szCs w:val="36"/>
          <w14:textFill>
            <w14:solidFill>
              <w14:schemeClr w14:val="tx1"/>
            </w14:solidFill>
          </w14:textFill>
        </w:rPr>
      </w:pPr>
      <w:r>
        <w:rPr>
          <w:rFonts w:ascii="华文中宋" w:hAnsi="华文中宋"/>
          <w:b/>
          <w:bCs/>
          <w:color w:val="000000" w:themeColor="text1"/>
          <w:sz w:val="36"/>
          <w:szCs w:val="36"/>
          <w14:textFill>
            <w14:solidFill>
              <w14:schemeClr w14:val="tx1"/>
            </w14:solidFill>
          </w14:textFill>
        </w:rPr>
        <w:t xml:space="preserve"> </w:t>
      </w:r>
    </w:p>
    <w:p>
      <w:pPr>
        <w:tabs>
          <w:tab w:val="left" w:pos="6810"/>
        </w:tabs>
        <w:spacing w:line="360" w:lineRule="auto"/>
        <w:ind w:right="360"/>
        <w:jc w:val="center"/>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报名材料清单</w:t>
      </w:r>
    </w:p>
    <w:p>
      <w:pPr>
        <w:spacing w:line="360" w:lineRule="auto"/>
        <w:jc w:val="center"/>
        <w:rPr>
          <w:rFonts w:ascii="宋体" w:hAnsi="宋体"/>
          <w:b/>
          <w:bCs/>
          <w:color w:val="000000" w:themeColor="text1"/>
          <w:sz w:val="28"/>
          <w:szCs w:val="28"/>
          <w14:textFill>
            <w14:solidFill>
              <w14:schemeClr w14:val="tx1"/>
            </w14:solidFill>
          </w14:textFill>
        </w:rPr>
      </w:pP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1．镇海中学嵊州分校教师招聘报名表；</w:t>
      </w: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2．身份证（正反面）、户口簿（首页、户主页、本人页）、学生证等证件复印件；</w:t>
      </w: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3．学历、专业证明的复印件；</w:t>
      </w: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4. 普通话等级证书、教师资格证（尚未拿到教师资格证的可提供国考成绩单）；</w:t>
      </w: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5．高校期间获得的省优、校优、三好学生、各类奖学金、学子英才奖、各类各级竞赛等获奖证书、学习成果及其他能证明符合报名条件材料的复印件或学校证明；</w:t>
      </w: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6. 在职教师需提供职称证书复印件。</w:t>
      </w:r>
    </w:p>
    <w:p>
      <w:pPr>
        <w:spacing w:line="360" w:lineRule="auto"/>
        <w:ind w:firstLine="480" w:firstLineChars="200"/>
        <w:rPr>
          <w:rFonts w:ascii="宋体" w:hAnsi="宋体"/>
          <w:color w:val="000000" w:themeColor="text1"/>
          <w:sz w:val="24"/>
          <w:szCs w:val="24"/>
          <w14:textFill>
            <w14:solidFill>
              <w14:schemeClr w14:val="tx1"/>
            </w14:solidFill>
          </w14:textFill>
        </w:rPr>
      </w:pPr>
    </w:p>
    <w:p>
      <w:pPr>
        <w:widowControl/>
        <w:spacing w:line="435" w:lineRule="atLeast"/>
        <w:rPr>
          <w:rFonts w:ascii="华文宋体" w:hAnsi="华文宋体" w:eastAsia="华文宋体" w:cs="宋体"/>
          <w:color w:val="000000" w:themeColor="text1"/>
          <w:kern w:val="0"/>
          <w:sz w:val="24"/>
          <w:szCs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Microsoft YaHei UI">
    <w:altName w:val="宋体"/>
    <w:panose1 w:val="020B0503020204020204"/>
    <w:charset w:val="86"/>
    <w:family w:val="swiss"/>
    <w:pitch w:val="default"/>
    <w:sig w:usb0="00000000" w:usb1="00000000"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000798"/>
    <w:multiLevelType w:val="singleLevel"/>
    <w:tmpl w:val="B700079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0YjcwNGVmNDJhZWNjMWRkZTg5YzE1MjhhNTE3MTkifQ=="/>
  </w:docVars>
  <w:rsids>
    <w:rsidRoot w:val="001464CC"/>
    <w:rsid w:val="001464CC"/>
    <w:rsid w:val="0028270D"/>
    <w:rsid w:val="00335C7A"/>
    <w:rsid w:val="004867F2"/>
    <w:rsid w:val="004A10B6"/>
    <w:rsid w:val="00666EBE"/>
    <w:rsid w:val="00820CAF"/>
    <w:rsid w:val="00D30C0E"/>
    <w:rsid w:val="00D70DCB"/>
    <w:rsid w:val="00E023C8"/>
    <w:rsid w:val="00EC4523"/>
    <w:rsid w:val="01FF4B87"/>
    <w:rsid w:val="04F41EFB"/>
    <w:rsid w:val="0A621193"/>
    <w:rsid w:val="0BDF3582"/>
    <w:rsid w:val="0D930580"/>
    <w:rsid w:val="0F1D7D7F"/>
    <w:rsid w:val="14BF5434"/>
    <w:rsid w:val="155D7127"/>
    <w:rsid w:val="156A6FD9"/>
    <w:rsid w:val="186C7681"/>
    <w:rsid w:val="19831126"/>
    <w:rsid w:val="19AD473A"/>
    <w:rsid w:val="1B1A7868"/>
    <w:rsid w:val="1B4D19EC"/>
    <w:rsid w:val="1C405668"/>
    <w:rsid w:val="1DD737EE"/>
    <w:rsid w:val="278369BA"/>
    <w:rsid w:val="2A6E1037"/>
    <w:rsid w:val="2CFF0401"/>
    <w:rsid w:val="39994353"/>
    <w:rsid w:val="3BBB1B47"/>
    <w:rsid w:val="3D274F5A"/>
    <w:rsid w:val="4A937FFF"/>
    <w:rsid w:val="4F3124AF"/>
    <w:rsid w:val="531354BA"/>
    <w:rsid w:val="53560736"/>
    <w:rsid w:val="541E3C7A"/>
    <w:rsid w:val="568F5F57"/>
    <w:rsid w:val="57934005"/>
    <w:rsid w:val="5D2B6790"/>
    <w:rsid w:val="63DF02D4"/>
    <w:rsid w:val="64836B12"/>
    <w:rsid w:val="65D976D1"/>
    <w:rsid w:val="66A45901"/>
    <w:rsid w:val="6B6C68F1"/>
    <w:rsid w:val="6BBB1626"/>
    <w:rsid w:val="6C8F7FD4"/>
    <w:rsid w:val="6F1C66DA"/>
    <w:rsid w:val="6FA11821"/>
    <w:rsid w:val="732E5B73"/>
    <w:rsid w:val="77B565A5"/>
    <w:rsid w:val="78B2790D"/>
    <w:rsid w:val="78E44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628</Words>
  <Characters>3584</Characters>
  <Lines>29</Lines>
  <Paragraphs>8</Paragraphs>
  <TotalTime>4</TotalTime>
  <ScaleCrop>false</ScaleCrop>
  <LinksUpToDate>false</LinksUpToDate>
  <CharactersWithSpaces>4204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2023-10-08T02:28:00Z</dcterms:created>
  <dc:creator>hp</dc:creator>
  <cp:lastModifiedBy>余锋</cp:lastModifiedBy>
  <dcterms:modified xsi:type="dcterms:W3CDTF">2023-10-31T06:56:52Z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8760D246E53E48DFA04DEEF8FAC65F88_12</vt:lpwstr>
  </property>
</Properties>
</file>