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adjustRightInd/>
        <w:snapToGrid/>
        <w:spacing w:line="570" w:lineRule="exact"/>
        <w:ind w:left="0" w:leftChars="0" w:firstLine="0" w:firstLineChars="0"/>
        <w:jc w:val="both"/>
        <w:textAlignment w:val="auto"/>
        <w:rPr>
          <w:rStyle w:val="19"/>
          <w:rFonts w:hint="eastAsia" w:ascii="黑体" w:hAnsi="黑体" w:eastAsia="黑体" w:cs="黑体"/>
          <w:color w:val="auto"/>
          <w:sz w:val="30"/>
          <w:szCs w:val="30"/>
          <w:highlight w:val="none"/>
          <w:lang w:val="en-US" w:eastAsia="zh-CN"/>
        </w:rPr>
      </w:pPr>
      <w:r>
        <w:rPr>
          <w:rStyle w:val="19"/>
          <w:rFonts w:hint="eastAsia" w:ascii="黑体" w:hAnsi="黑体" w:eastAsia="黑体" w:cs="黑体"/>
          <w:color w:val="auto"/>
          <w:sz w:val="30"/>
          <w:szCs w:val="30"/>
          <w:highlight w:val="none"/>
          <w:lang w:val="en-US" w:eastAsia="zh-CN"/>
        </w:rPr>
        <w:t>附</w:t>
      </w:r>
      <w:r>
        <w:rPr>
          <w:rStyle w:val="19"/>
          <w:rFonts w:hint="eastAsia" w:ascii="黑体" w:hAnsi="黑体" w:eastAsia="黑体" w:cs="黑体"/>
          <w:color w:val="auto"/>
          <w:sz w:val="30"/>
          <w:szCs w:val="30"/>
          <w:highlight w:val="none"/>
          <w:lang w:val="en-US" w:eastAsia="zh-CN"/>
        </w:rPr>
        <w:t>件</w:t>
      </w:r>
    </w:p>
    <w:p>
      <w:pPr>
        <w:pStyle w:val="13"/>
        <w:adjustRightInd/>
        <w:snapToGrid/>
        <w:spacing w:line="570" w:lineRule="exact"/>
        <w:ind w:left="0" w:leftChars="0" w:firstLine="0" w:firstLineChars="0"/>
        <w:jc w:val="center"/>
        <w:textAlignment w:val="auto"/>
        <w:rPr>
          <w:rStyle w:val="19"/>
          <w:rFonts w:hint="default" w:ascii="Times New Roman" w:hAnsi="Times New Roman" w:eastAsia="方正小标宋_GBK" w:cs="Times New Roman"/>
          <w:color w:val="auto"/>
          <w:sz w:val="30"/>
          <w:szCs w:val="30"/>
          <w:highlight w:val="none"/>
          <w:lang w:val="en-US" w:eastAsia="zh-CN"/>
        </w:rPr>
      </w:pPr>
      <w:r>
        <w:rPr>
          <w:rStyle w:val="19"/>
          <w:rFonts w:hint="default" w:ascii="Times New Roman" w:hAnsi="Times New Roman" w:eastAsia="方正小标宋_GBK" w:cs="Times New Roman"/>
          <w:color w:val="auto"/>
          <w:sz w:val="30"/>
          <w:szCs w:val="30"/>
          <w:highlight w:val="none"/>
          <w:lang w:val="en-US" w:eastAsia="zh-CN"/>
        </w:rPr>
        <w:t>2023年杭州市余杭区公开招聘区属国有企业工作人员计划一览表</w:t>
      </w:r>
    </w:p>
    <w:tbl>
      <w:tblPr>
        <w:tblStyle w:val="5"/>
        <w:tblW w:w="14174"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62"/>
        <w:gridCol w:w="659"/>
        <w:gridCol w:w="957"/>
        <w:gridCol w:w="586"/>
        <w:gridCol w:w="587"/>
        <w:gridCol w:w="586"/>
        <w:gridCol w:w="586"/>
        <w:gridCol w:w="587"/>
        <w:gridCol w:w="586"/>
        <w:gridCol w:w="587"/>
        <w:gridCol w:w="1854"/>
        <w:gridCol w:w="4309"/>
        <w:gridCol w:w="913"/>
        <w:gridCol w:w="8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b/>
                <w:i w:val="0"/>
                <w:color w:val="auto"/>
                <w:sz w:val="18"/>
                <w:szCs w:val="18"/>
                <w:highlight w:val="none"/>
                <w:u w:val="none"/>
                <w:lang w:eastAsia="zh-CN"/>
              </w:rPr>
            </w:pPr>
            <w:r>
              <w:rPr>
                <w:rFonts w:hint="default" w:ascii="Times New Roman" w:hAnsi="Times New Roman" w:eastAsia="仿宋_GB2312" w:cs="Times New Roman"/>
                <w:b/>
                <w:i w:val="0"/>
                <w:color w:val="auto"/>
                <w:sz w:val="18"/>
                <w:szCs w:val="18"/>
                <w:highlight w:val="none"/>
                <w:u w:val="none"/>
                <w:lang w:eastAsia="zh-CN"/>
              </w:rPr>
              <w:t>序号</w:t>
            </w:r>
          </w:p>
        </w:tc>
        <w:tc>
          <w:tcPr>
            <w:tcW w:w="65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b/>
                <w:i w:val="0"/>
                <w:color w:val="auto"/>
                <w:sz w:val="18"/>
                <w:szCs w:val="18"/>
                <w:highlight w:val="none"/>
                <w:u w:val="none"/>
              </w:rPr>
            </w:pPr>
            <w:r>
              <w:rPr>
                <w:rFonts w:hint="default" w:ascii="Times New Roman" w:hAnsi="Times New Roman" w:eastAsia="仿宋_GB2312" w:cs="Times New Roman"/>
                <w:b/>
                <w:i w:val="0"/>
                <w:color w:val="auto"/>
                <w:kern w:val="0"/>
                <w:sz w:val="18"/>
                <w:szCs w:val="18"/>
                <w:highlight w:val="none"/>
                <w:u w:val="none"/>
                <w:lang w:val="en-US" w:eastAsia="zh-CN"/>
              </w:rPr>
              <w:t>主管部门</w:t>
            </w: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b/>
                <w:i w:val="0"/>
                <w:color w:val="auto"/>
                <w:sz w:val="18"/>
                <w:szCs w:val="18"/>
                <w:highlight w:val="none"/>
                <w:u w:val="none"/>
              </w:rPr>
            </w:pPr>
            <w:r>
              <w:rPr>
                <w:rFonts w:hint="default" w:ascii="Times New Roman" w:hAnsi="Times New Roman" w:eastAsia="仿宋_GB2312" w:cs="Times New Roman"/>
                <w:b/>
                <w:i w:val="0"/>
                <w:color w:val="auto"/>
                <w:kern w:val="0"/>
                <w:sz w:val="18"/>
                <w:szCs w:val="18"/>
                <w:highlight w:val="none"/>
                <w:u w:val="none"/>
                <w:lang w:val="en-US" w:eastAsia="zh-CN"/>
              </w:rPr>
              <w:t>招聘单位</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b/>
                <w:i w:val="0"/>
                <w:color w:val="auto"/>
                <w:sz w:val="18"/>
                <w:szCs w:val="18"/>
                <w:highlight w:val="none"/>
                <w:u w:val="none"/>
              </w:rPr>
            </w:pPr>
            <w:r>
              <w:rPr>
                <w:rFonts w:hint="default" w:ascii="Times New Roman" w:hAnsi="Times New Roman" w:eastAsia="仿宋_GB2312" w:cs="Times New Roman"/>
                <w:b/>
                <w:i w:val="0"/>
                <w:color w:val="auto"/>
                <w:kern w:val="0"/>
                <w:sz w:val="18"/>
                <w:szCs w:val="18"/>
                <w:highlight w:val="none"/>
                <w:u w:val="none"/>
                <w:lang w:val="en-US" w:eastAsia="zh-CN"/>
              </w:rPr>
              <w:t>招聘</w:t>
            </w:r>
            <w:r>
              <w:rPr>
                <w:rFonts w:hint="default" w:ascii="Times New Roman" w:hAnsi="Times New Roman" w:eastAsia="仿宋_GB2312" w:cs="Times New Roman"/>
                <w:b/>
                <w:i w:val="0"/>
                <w:color w:val="auto"/>
                <w:kern w:val="0"/>
                <w:sz w:val="18"/>
                <w:szCs w:val="18"/>
                <w:highlight w:val="none"/>
                <w:u w:val="none"/>
                <w:lang w:val="en-US" w:eastAsia="zh-CN"/>
              </w:rPr>
              <w:br w:type="textWrapping"/>
            </w:r>
            <w:r>
              <w:rPr>
                <w:rFonts w:hint="default" w:ascii="Times New Roman" w:hAnsi="Times New Roman" w:eastAsia="仿宋_GB2312" w:cs="Times New Roman"/>
                <w:b/>
                <w:i w:val="0"/>
                <w:color w:val="auto"/>
                <w:kern w:val="0"/>
                <w:sz w:val="18"/>
                <w:szCs w:val="18"/>
                <w:highlight w:val="none"/>
                <w:u w:val="none"/>
                <w:lang w:val="en-US" w:eastAsia="zh-CN"/>
              </w:rPr>
              <w:t>岗位</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b/>
                <w:i w:val="0"/>
                <w:color w:val="auto"/>
                <w:sz w:val="18"/>
                <w:szCs w:val="18"/>
                <w:highlight w:val="none"/>
                <w:u w:val="none"/>
              </w:rPr>
            </w:pPr>
            <w:r>
              <w:rPr>
                <w:rFonts w:hint="default" w:ascii="Times New Roman" w:hAnsi="Times New Roman" w:eastAsia="仿宋_GB2312" w:cs="Times New Roman"/>
                <w:b/>
                <w:i w:val="0"/>
                <w:color w:val="auto"/>
                <w:kern w:val="0"/>
                <w:sz w:val="18"/>
                <w:szCs w:val="18"/>
                <w:highlight w:val="none"/>
                <w:u w:val="none"/>
                <w:lang w:val="en-US" w:eastAsia="zh-CN"/>
              </w:rPr>
              <w:t>招聘人数</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b/>
                <w:i w:val="0"/>
                <w:color w:val="auto"/>
                <w:sz w:val="18"/>
                <w:szCs w:val="18"/>
                <w:highlight w:val="none"/>
                <w:u w:val="none"/>
              </w:rPr>
            </w:pPr>
            <w:r>
              <w:rPr>
                <w:rFonts w:hint="default" w:ascii="Times New Roman" w:hAnsi="Times New Roman" w:eastAsia="仿宋_GB2312" w:cs="Times New Roman"/>
                <w:b/>
                <w:i w:val="0"/>
                <w:color w:val="auto"/>
                <w:kern w:val="0"/>
                <w:sz w:val="18"/>
                <w:szCs w:val="18"/>
                <w:highlight w:val="none"/>
                <w:u w:val="none"/>
                <w:lang w:val="en-US" w:eastAsia="zh-CN"/>
              </w:rPr>
              <w:t>招聘范围</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b/>
                <w:i w:val="0"/>
                <w:color w:val="auto"/>
                <w:sz w:val="18"/>
                <w:szCs w:val="18"/>
                <w:highlight w:val="none"/>
                <w:u w:val="none"/>
              </w:rPr>
            </w:pPr>
            <w:r>
              <w:rPr>
                <w:rFonts w:hint="default" w:ascii="Times New Roman" w:hAnsi="Times New Roman" w:eastAsia="仿宋_GB2312" w:cs="Times New Roman"/>
                <w:b/>
                <w:i w:val="0"/>
                <w:color w:val="auto"/>
                <w:kern w:val="0"/>
                <w:sz w:val="18"/>
                <w:szCs w:val="18"/>
                <w:highlight w:val="none"/>
                <w:u w:val="none"/>
                <w:lang w:val="en-US" w:eastAsia="zh-CN"/>
              </w:rPr>
              <w:t>年龄</w:t>
            </w:r>
            <w:r>
              <w:rPr>
                <w:rFonts w:hint="default" w:ascii="Times New Roman" w:hAnsi="Times New Roman" w:eastAsia="仿宋_GB2312" w:cs="Times New Roman"/>
                <w:b/>
                <w:i w:val="0"/>
                <w:color w:val="auto"/>
                <w:kern w:val="0"/>
                <w:sz w:val="18"/>
                <w:szCs w:val="18"/>
                <w:highlight w:val="none"/>
                <w:u w:val="none"/>
                <w:lang w:val="en-US" w:eastAsia="zh-CN"/>
              </w:rPr>
              <w:br w:type="textWrapping"/>
            </w:r>
            <w:r>
              <w:rPr>
                <w:rFonts w:hint="default" w:ascii="Times New Roman" w:hAnsi="Times New Roman" w:eastAsia="仿宋_GB2312" w:cs="Times New Roman"/>
                <w:b/>
                <w:i w:val="0"/>
                <w:color w:val="auto"/>
                <w:kern w:val="0"/>
                <w:sz w:val="18"/>
                <w:szCs w:val="18"/>
                <w:highlight w:val="none"/>
                <w:u w:val="none"/>
                <w:lang w:val="en-US" w:eastAsia="zh-CN"/>
              </w:rPr>
              <w:t>条件</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b/>
                <w:i w:val="0"/>
                <w:color w:val="auto"/>
                <w:sz w:val="18"/>
                <w:szCs w:val="18"/>
                <w:highlight w:val="none"/>
                <w:u w:val="none"/>
              </w:rPr>
            </w:pPr>
            <w:r>
              <w:rPr>
                <w:rFonts w:hint="default" w:ascii="Times New Roman" w:hAnsi="Times New Roman" w:eastAsia="仿宋_GB2312" w:cs="Times New Roman"/>
                <w:b/>
                <w:i w:val="0"/>
                <w:color w:val="auto"/>
                <w:kern w:val="0"/>
                <w:sz w:val="18"/>
                <w:szCs w:val="18"/>
                <w:highlight w:val="none"/>
                <w:u w:val="none"/>
                <w:lang w:val="en-US" w:eastAsia="zh-CN"/>
              </w:rPr>
              <w:t>性别要求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b/>
                <w:i w:val="0"/>
                <w:color w:val="auto"/>
                <w:sz w:val="18"/>
                <w:szCs w:val="18"/>
                <w:highlight w:val="none"/>
                <w:u w:val="none"/>
              </w:rPr>
            </w:pPr>
            <w:r>
              <w:rPr>
                <w:rFonts w:hint="default" w:ascii="Times New Roman" w:hAnsi="Times New Roman" w:eastAsia="仿宋_GB2312" w:cs="Times New Roman"/>
                <w:b/>
                <w:i w:val="0"/>
                <w:color w:val="auto"/>
                <w:kern w:val="0"/>
                <w:sz w:val="18"/>
                <w:szCs w:val="18"/>
                <w:highlight w:val="none"/>
                <w:u w:val="none"/>
                <w:lang w:val="en-US" w:eastAsia="zh-CN"/>
              </w:rPr>
              <w:t>学历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b/>
                <w:i w:val="0"/>
                <w:color w:val="auto"/>
                <w:sz w:val="18"/>
                <w:szCs w:val="18"/>
                <w:highlight w:val="none"/>
                <w:u w:val="none"/>
              </w:rPr>
            </w:pPr>
            <w:r>
              <w:rPr>
                <w:rFonts w:hint="default" w:ascii="Times New Roman" w:hAnsi="Times New Roman" w:eastAsia="仿宋_GB2312" w:cs="Times New Roman"/>
                <w:b/>
                <w:i w:val="0"/>
                <w:color w:val="auto"/>
                <w:kern w:val="0"/>
                <w:sz w:val="18"/>
                <w:szCs w:val="18"/>
                <w:highlight w:val="none"/>
                <w:u w:val="none"/>
                <w:lang w:val="en-US" w:eastAsia="zh-CN"/>
              </w:rPr>
              <w:t>学位</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b/>
                <w:i w:val="0"/>
                <w:color w:val="auto"/>
                <w:sz w:val="18"/>
                <w:szCs w:val="18"/>
                <w:highlight w:val="none"/>
                <w:u w:val="none"/>
              </w:rPr>
            </w:pPr>
            <w:r>
              <w:rPr>
                <w:rFonts w:hint="default" w:ascii="Times New Roman" w:hAnsi="Times New Roman" w:eastAsia="仿宋_GB2312" w:cs="Times New Roman"/>
                <w:b/>
                <w:i w:val="0"/>
                <w:color w:val="auto"/>
                <w:kern w:val="0"/>
                <w:sz w:val="18"/>
                <w:szCs w:val="18"/>
                <w:highlight w:val="none"/>
                <w:u w:val="none"/>
                <w:lang w:val="en-US" w:eastAsia="zh-CN"/>
              </w:rPr>
              <w:t>专业条件</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b/>
                <w:i w:val="0"/>
                <w:color w:val="auto"/>
                <w:sz w:val="18"/>
                <w:szCs w:val="18"/>
                <w:highlight w:val="none"/>
                <w:u w:val="none"/>
              </w:rPr>
            </w:pPr>
            <w:r>
              <w:rPr>
                <w:rFonts w:hint="default" w:ascii="Times New Roman" w:hAnsi="Times New Roman" w:eastAsia="仿宋_GB2312" w:cs="Times New Roman"/>
                <w:b/>
                <w:i w:val="0"/>
                <w:color w:val="auto"/>
                <w:kern w:val="0"/>
                <w:sz w:val="18"/>
                <w:szCs w:val="18"/>
                <w:highlight w:val="none"/>
                <w:u w:val="none"/>
                <w:lang w:val="en-US" w:eastAsia="zh-CN"/>
              </w:rPr>
              <w:t>其他条件</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b/>
                <w:i w:val="0"/>
                <w:color w:val="auto"/>
                <w:sz w:val="18"/>
                <w:szCs w:val="18"/>
                <w:highlight w:val="none"/>
                <w:u w:val="none"/>
              </w:rPr>
            </w:pPr>
            <w:r>
              <w:rPr>
                <w:rFonts w:hint="default" w:ascii="Times New Roman" w:hAnsi="Times New Roman" w:eastAsia="仿宋_GB2312" w:cs="Times New Roman"/>
                <w:b/>
                <w:i w:val="0"/>
                <w:color w:val="auto"/>
                <w:kern w:val="0"/>
                <w:sz w:val="18"/>
                <w:szCs w:val="18"/>
                <w:highlight w:val="none"/>
                <w:u w:val="none"/>
                <w:lang w:val="en-US" w:eastAsia="zh-CN"/>
              </w:rPr>
              <w:t>咨询</w:t>
            </w:r>
            <w:r>
              <w:rPr>
                <w:rFonts w:hint="default" w:ascii="Times New Roman" w:hAnsi="Times New Roman" w:eastAsia="仿宋_GB2312" w:cs="Times New Roman"/>
                <w:b/>
                <w:i w:val="0"/>
                <w:color w:val="auto"/>
                <w:kern w:val="0"/>
                <w:sz w:val="18"/>
                <w:szCs w:val="18"/>
                <w:highlight w:val="none"/>
                <w:u w:val="none"/>
                <w:lang w:val="en-US" w:eastAsia="zh-CN"/>
              </w:rPr>
              <w:br w:type="textWrapping"/>
            </w:r>
            <w:r>
              <w:rPr>
                <w:rFonts w:hint="default" w:ascii="Times New Roman" w:hAnsi="Times New Roman" w:eastAsia="仿宋_GB2312" w:cs="Times New Roman"/>
                <w:b/>
                <w:i w:val="0"/>
                <w:color w:val="auto"/>
                <w:kern w:val="0"/>
                <w:sz w:val="18"/>
                <w:szCs w:val="18"/>
                <w:highlight w:val="none"/>
                <w:u w:val="none"/>
                <w:lang w:val="en-US" w:eastAsia="zh-CN"/>
              </w:rPr>
              <w:t xml:space="preserve">电话  </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b/>
                <w:i w:val="0"/>
                <w:color w:val="auto"/>
                <w:sz w:val="18"/>
                <w:szCs w:val="18"/>
                <w:highlight w:val="none"/>
                <w:u w:val="none"/>
              </w:rPr>
            </w:pPr>
            <w:r>
              <w:rPr>
                <w:rFonts w:hint="default" w:ascii="Times New Roman" w:hAnsi="Times New Roman" w:eastAsia="仿宋_GB2312" w:cs="Times New Roman"/>
                <w:b/>
                <w:i w:val="0"/>
                <w:color w:val="auto"/>
                <w:kern w:val="0"/>
                <w:sz w:val="18"/>
                <w:szCs w:val="18"/>
                <w:highlight w:val="none"/>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5"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1</w:t>
            </w:r>
          </w:p>
        </w:tc>
        <w:tc>
          <w:tcPr>
            <w:tcW w:w="659" w:type="dxa"/>
            <w:vMerge w:val="restart"/>
            <w:tcBorders>
              <w:top w:val="single" w:color="000000" w:sz="4" w:space="0"/>
              <w:left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杭州余杭国有资本投资运营集团有限公司</w:t>
            </w: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杭州余杭国有资本投资运营集团有限公司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财务总监</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45周岁及以下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会计学、财务学、审计学、税务学、公共财政与公共政策、财务会计教育等相关专业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1.取得会计师、审计师等相关高级及以上专业技术职称或注册会计师等相关执业资格；</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2.具有10年及以上财务会计审计或投融资工作经历（硕士研究生及以上放宽至5年）；</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3.具备下列条件之一者优先：在大中型企业财务部门担任正职2年及以上，或在政府部门从事经济管理工作5年及以上；</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4.具有硕士研究生及以上学历学位的，不限户籍。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0571-86223075</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2</w:t>
            </w:r>
          </w:p>
        </w:tc>
        <w:tc>
          <w:tcPr>
            <w:tcW w:w="659" w:type="dxa"/>
            <w:vMerge w:val="continue"/>
            <w:tcBorders>
              <w:left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杭州余杭中小企业转贷服务有限公司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金融服务专员1</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男性</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经济与贸易类、经济学类、应用经济学类、金融学类、法学类、财政学类、工商管理类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符合下列条件之一：</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1.具有3年及以上金融类、财务类、法律类等相关工作经历，其中具有5年及以上上述相关工作经历的，不限专业，具有硕士研究生及以上学历学位的，不限户籍；</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现任浙江省范围内二级支行副职及以上职务或一级支行公司业务部门副职及以上职务（且任上述职务1年及以上）的，或现任浙江省范围内注册资本一亿元及以上的小贷、典当、担保等相关企业副职及以上职务（且任上述职务2年及以上）的，不限专业和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0571-86223075</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5"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3</w:t>
            </w:r>
          </w:p>
        </w:tc>
        <w:tc>
          <w:tcPr>
            <w:tcW w:w="659" w:type="dxa"/>
            <w:vMerge w:val="continue"/>
            <w:tcBorders>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杭州余杭中小企业转贷服务有限公司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金融服务专员2</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经济与贸易类、经济学类、应用经济学类、金融学类、法学类、财政学类、工商管理类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符合下列条件之一：</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1.具有3年及以上金融类、财务类、法律类等相关工作经历，其中具有5年及以上上述相关工作经历的，不限专业，具有硕士研究生及以上学历学位的，不限户籍；</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现任浙江省范围内二级支行副职及以上职务或一级支行公司业务部门副职及以上职务（且任上述职务1年及以上）的，或现任浙江省范围内注册资本一亿元及以上的小贷、典当、担保等相关企业副职及以上职务（且任上述职务2年及以上）的，不限专业和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0571-86223075</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需长期出差，适合男性报考。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3"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4</w:t>
            </w:r>
          </w:p>
        </w:tc>
        <w:tc>
          <w:tcPr>
            <w:tcW w:w="659" w:type="dxa"/>
            <w:vMerge w:val="restart"/>
            <w:tcBorders>
              <w:top w:val="single" w:color="000000" w:sz="4" w:space="0"/>
              <w:left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杭州余杭国有资本投资运营集团有限公司</w:t>
            </w: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杭州余杭区资产经营处置有限公司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金融服务专员</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经济与贸易类、经济学类、应用经济学类、金融学类、法学类、财政学类、工商管理类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符合下列条件之一：</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1.具有3年及以上金融类、财务类、法律类等相关工作经历，其中具有5年及以上上述相关工作经历的，不限专业，具有硕士研究生及以上学历学位的，不限户籍；</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现任浙江省范围内二级支行副职及以上职务或一级支行公司业务部门副职及以上职务（且任上述职务1年及以上）的，或现任浙江省范围内注册资本一亿元及以上的小贷、典当、担保等相关企业副职及以上职务（且任上述职务2年及以上）的，不限专业和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0571-86223075</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5</w:t>
            </w:r>
          </w:p>
        </w:tc>
        <w:tc>
          <w:tcPr>
            <w:tcW w:w="659" w:type="dxa"/>
            <w:vMerge w:val="continue"/>
            <w:tcBorders>
              <w:left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杭州余杭政策性融资担保有限公司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金融服务助理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经济与贸易类、经济学类、应用经济学类、电子商务类、金融学类、法学类、财政学类、工商管理类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0571-86223075</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6</w:t>
            </w:r>
          </w:p>
        </w:tc>
        <w:tc>
          <w:tcPr>
            <w:tcW w:w="659" w:type="dxa"/>
            <w:vMerge w:val="continue"/>
            <w:tcBorders>
              <w:left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杭州余杭中小企业转贷服务有限公司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金融服务助理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经济与贸易类、经济学类、应用经济学类、电子商务类、金融学类、法学类、财政学类、工商管理类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0571-86223075</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7</w:t>
            </w:r>
          </w:p>
        </w:tc>
        <w:tc>
          <w:tcPr>
            <w:tcW w:w="659" w:type="dxa"/>
            <w:vMerge w:val="continue"/>
            <w:tcBorders>
              <w:left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杭州余杭人才发展集团有限公司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综合管理1</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中国语言文学类、外国语言文学类、新闻传播学类、政治学类、人力资源管理类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1.具有2年及以上文秘工作经历或人力资源相关工作经历的，不限专业；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2.同等条件下，中共党员优先；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0571-86223075</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8</w:t>
            </w:r>
          </w:p>
        </w:tc>
        <w:tc>
          <w:tcPr>
            <w:tcW w:w="659" w:type="dxa"/>
            <w:vMerge w:val="continue"/>
            <w:tcBorders>
              <w:left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杭州余杭人才发展集团有限公司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综合管理2</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计算机类、电子信息类、自动化类、电子科学与技术类、信息与通信工程类、控制科学与工程类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1.具有2年及以上人力资源数字化相关工作经历的，不限专业；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2.同等条件下，中共党员优先；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0571-86223075</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9</w:t>
            </w:r>
          </w:p>
        </w:tc>
        <w:tc>
          <w:tcPr>
            <w:tcW w:w="659" w:type="dxa"/>
            <w:vMerge w:val="continue"/>
            <w:tcBorders>
              <w:left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杭州余杭人才发展集团有限公司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人才项目管理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工商管理类、经济与贸易类、经济学类、应用经济学类、金融学类、电子商务类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1.具有专业相关工作经历优先；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2.同等条件下，中共党员优先；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0571-86223075</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4"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10</w:t>
            </w:r>
          </w:p>
        </w:tc>
        <w:tc>
          <w:tcPr>
            <w:tcW w:w="659" w:type="dxa"/>
            <w:vMerge w:val="continue"/>
            <w:tcBorders>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杭州余杭人才发展集团有限公司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活动策划</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设计学类、美术学类、新闻传播学类、工商管理类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1.具有2年及以上活动策划工作经历或人力资源相关工作经历的，不限专业；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2.同等条件下，中共党员优先；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0571-86223075</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11</w:t>
            </w:r>
          </w:p>
        </w:tc>
        <w:tc>
          <w:tcPr>
            <w:tcW w:w="659" w:type="dxa"/>
            <w:vMerge w:val="restart"/>
            <w:tcBorders>
              <w:top w:val="single" w:color="000000" w:sz="4" w:space="0"/>
              <w:left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杭州余杭国有资本投资运营集团有限公司</w:t>
            </w: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杭州余杭大数据经营有限公司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副总经理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40周岁及以下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研究生及以上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硕士及以上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计算机科学与技术类、电子科学与技术类、控制科学与工程类、管理科学与工程类、应用经济学类、工商管理类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1.精通政府数字化建设等咨询和实施方法，具有5年及以上互联网科技、产业园规划、智慧城市等行业工作经历，且具有3年及以上团队管理经验（团队需5人及上）；</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2.有项目管理、解决方案或产品经理工作经验者优先。</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0571-86223075</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12</w:t>
            </w:r>
          </w:p>
        </w:tc>
        <w:tc>
          <w:tcPr>
            <w:tcW w:w="659" w:type="dxa"/>
            <w:vMerge w:val="continue"/>
            <w:tcBorders>
              <w:left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杭州余杭大数据经营有限公司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前端工程师</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计算机类、电子信息类、自动化类、电子商务类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具有2年及以上计算机行业前端、客户端相关工作经历。</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0571-86223075</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13</w:t>
            </w:r>
          </w:p>
        </w:tc>
        <w:tc>
          <w:tcPr>
            <w:tcW w:w="659" w:type="dxa"/>
            <w:vMerge w:val="continue"/>
            <w:tcBorders>
              <w:left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杭州余杭大数据经营有限公司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UI设计师</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计算机类、电子信息类、自动化类、艺术学理论类、美术学类、设计学类、测绘类、工业设计类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具有2年及以上界面设计、交互设计等开发工作经历。</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0571-86223075</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14</w:t>
            </w:r>
          </w:p>
        </w:tc>
        <w:tc>
          <w:tcPr>
            <w:tcW w:w="659" w:type="dxa"/>
            <w:vMerge w:val="continue"/>
            <w:tcBorders>
              <w:left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杭州余杭大数据经营有限公司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对外合作商务经理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计算机类、电子信息类、自动化类、经济学类、电子商务类、经济与贸易类、工商管理类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具有2年及以上计算机行业方案设计、售前支持、产品销售等工作经历。</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0571-86223075</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15</w:t>
            </w:r>
          </w:p>
        </w:tc>
        <w:tc>
          <w:tcPr>
            <w:tcW w:w="659" w:type="dxa"/>
            <w:vMerge w:val="continue"/>
            <w:tcBorders>
              <w:left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杭州余杭大数据经营有限公司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高级数据工程师</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计算机类、电子信息类、自动化类、电子商务类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具有5年及以上计算机行业数据仓库、数据分析等工作经历。</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0571-86223075</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16</w:t>
            </w:r>
          </w:p>
        </w:tc>
        <w:tc>
          <w:tcPr>
            <w:tcW w:w="659" w:type="dxa"/>
            <w:vMerge w:val="continue"/>
            <w:tcBorders>
              <w:left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杭州余杭大数据经营有限公司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高级运维工程师</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计算机类、电子信息类、自动化类、仪器类、电气类、机械类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具有5年及以上计算机行业系统运维、系统部署、网络设计等开发工作经历。</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0571-86223075</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17</w:t>
            </w:r>
          </w:p>
        </w:tc>
        <w:tc>
          <w:tcPr>
            <w:tcW w:w="659" w:type="dxa"/>
            <w:vMerge w:val="continue"/>
            <w:tcBorders>
              <w:left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杭州余杭宜居科创有限公司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智能管理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自动化类、电子信息类、公共管理类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1.具有2年及以上基层工作经历；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2.具有3年及以上建设主管部门工作经历的，年龄可放宽至40周岁；</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3.具有硕士研究生及以上学历学位的，不限户籍。</w:t>
            </w:r>
          </w:p>
        </w:tc>
        <w:tc>
          <w:tcPr>
            <w:tcW w:w="913" w:type="dxa"/>
            <w:tcBorders>
              <w:top w:val="single" w:color="000000" w:sz="4" w:space="0"/>
              <w:left w:val="single" w:color="000000" w:sz="4" w:space="0"/>
              <w:bottom w:val="single" w:color="000000" w:sz="4" w:space="0"/>
              <w:right w:val="nil"/>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0571-89391909</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18</w:t>
            </w:r>
          </w:p>
        </w:tc>
        <w:tc>
          <w:tcPr>
            <w:tcW w:w="659" w:type="dxa"/>
            <w:vMerge w:val="continue"/>
            <w:tcBorders>
              <w:left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杭州余杭宜居科创有限公司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保障性住房管理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建筑类、土木类、电气类、工商管理类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1.具有2年及以上基层工作经历；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2.具有3年及以上建设主管部门工作经历的，年龄可放宽至40周岁；</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3.取得二级建造师资格证者优先；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4.具有硕士研究生及以上学历学位的，不限户籍。</w:t>
            </w:r>
          </w:p>
        </w:tc>
        <w:tc>
          <w:tcPr>
            <w:tcW w:w="913" w:type="dxa"/>
            <w:tcBorders>
              <w:top w:val="single" w:color="000000" w:sz="4" w:space="0"/>
              <w:left w:val="single" w:color="000000" w:sz="4" w:space="0"/>
              <w:bottom w:val="single" w:color="000000" w:sz="4" w:space="0"/>
              <w:right w:val="nil"/>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0571-89391909</w:t>
            </w:r>
          </w:p>
        </w:tc>
        <w:tc>
          <w:tcPr>
            <w:tcW w:w="815" w:type="dxa"/>
            <w:tcBorders>
              <w:top w:val="single" w:color="000000"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19</w:t>
            </w:r>
          </w:p>
        </w:tc>
        <w:tc>
          <w:tcPr>
            <w:tcW w:w="659" w:type="dxa"/>
            <w:vMerge w:val="continue"/>
            <w:tcBorders>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杭州余杭宜居科创有限公司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房产测绘</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建筑类、土木类、测绘类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1.具有中高级职称者优先；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0571-89391909</w:t>
            </w:r>
          </w:p>
        </w:tc>
        <w:tc>
          <w:tcPr>
            <w:tcW w:w="815"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62" w:type="dxa"/>
            <w:tcBorders>
              <w:top w:val="single" w:color="000000" w:sz="4" w:space="0"/>
              <w:left w:val="single" w:color="000000" w:sz="4" w:space="0"/>
              <w:bottom w:val="single" w:color="000000"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20</w:t>
            </w:r>
          </w:p>
        </w:tc>
        <w:tc>
          <w:tcPr>
            <w:tcW w:w="659" w:type="dxa"/>
            <w:vMerge w:val="restart"/>
            <w:tcBorders>
              <w:top w:val="single" w:color="auto" w:sz="4" w:space="0"/>
              <w:left w:val="single" w:color="auto"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kern w:val="0"/>
                <w:sz w:val="18"/>
                <w:szCs w:val="18"/>
                <w:highlight w:val="none"/>
                <w:u w:val="none"/>
                <w:lang w:val="en-US" w:eastAsia="zh-CN"/>
              </w:rPr>
            </w:pPr>
            <w:r>
              <w:rPr>
                <w:rFonts w:hint="default" w:ascii="Times New Roman" w:hAnsi="Times New Roman" w:eastAsia="仿宋_GB2312" w:cs="Times New Roman"/>
                <w:i w:val="0"/>
                <w:color w:val="auto"/>
                <w:kern w:val="0"/>
                <w:sz w:val="18"/>
                <w:szCs w:val="18"/>
                <w:highlight w:val="none"/>
                <w:u w:val="none"/>
                <w:lang w:val="en-US" w:eastAsia="zh-CN"/>
              </w:rPr>
              <w:t>杭州余杭国有资本投资运营集团有限公司</w:t>
            </w:r>
          </w:p>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auto"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杭州余杭区产业发展服务有限公司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工商管理类、财务会计类、财政税务类、经济学类、应用经济学类、金融学类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1.具有2年及以上财务类工作经历；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eastAsia" w:ascii="仿宋_GB2312" w:hAnsi="宋体" w:eastAsia="仿宋_GB2312" w:cs="仿宋_GB2312"/>
                <w:i w:val="0"/>
                <w:color w:val="auto"/>
                <w:kern w:val="0"/>
                <w:sz w:val="18"/>
                <w:szCs w:val="18"/>
                <w:highlight w:val="none"/>
                <w:u w:val="none"/>
                <w:lang w:val="en-US" w:eastAsia="zh-CN"/>
              </w:rPr>
            </w:pPr>
            <w:r>
              <w:rPr>
                <w:rFonts w:hint="eastAsia" w:ascii="仿宋_GB2312" w:hAnsi="宋体" w:eastAsia="仿宋_GB2312" w:cs="仿宋_GB2312"/>
                <w:i w:val="0"/>
                <w:color w:val="auto"/>
                <w:kern w:val="0"/>
                <w:sz w:val="18"/>
                <w:szCs w:val="18"/>
                <w:highlight w:val="none"/>
                <w:u w:val="none"/>
                <w:lang w:val="en-US" w:eastAsia="zh-CN"/>
              </w:rPr>
              <w:t>0571-88697236</w:t>
            </w:r>
          </w:p>
          <w:p>
            <w:pPr>
              <w:widowControl/>
              <w:wordWrap/>
              <w:adjustRightInd/>
              <w:snapToGrid/>
              <w:spacing w:before="0" w:beforeAutospacing="0" w:after="0" w:afterAutospacing="0" w:line="200" w:lineRule="exact"/>
              <w:ind w:left="0" w:right="0"/>
              <w:jc w:val="center"/>
              <w:textAlignment w:val="center"/>
              <w:rPr>
                <w:rFonts w:hint="default" w:ascii="仿宋_GB2312" w:hAnsi="宋体" w:eastAsia="仿宋_GB2312" w:cs="仿宋_GB2312"/>
                <w:i w:val="0"/>
                <w:color w:val="auto"/>
                <w:kern w:val="0"/>
                <w:sz w:val="18"/>
                <w:szCs w:val="18"/>
                <w:highlight w:val="none"/>
                <w:u w:val="none"/>
                <w:lang w:val="en-US" w:eastAsia="zh-CN"/>
              </w:rPr>
            </w:pPr>
            <w:r>
              <w:rPr>
                <w:rFonts w:hint="eastAsia" w:ascii="仿宋_GB2312" w:hAnsi="宋体" w:eastAsia="仿宋_GB2312" w:cs="仿宋_GB2312"/>
                <w:i w:val="0"/>
                <w:color w:val="auto"/>
                <w:kern w:val="0"/>
                <w:sz w:val="18"/>
                <w:szCs w:val="18"/>
                <w:highlight w:val="none"/>
                <w:u w:val="none"/>
                <w:lang w:val="en-US" w:eastAsia="zh-CN"/>
              </w:rPr>
              <w:t>0571-89515926</w:t>
            </w:r>
          </w:p>
        </w:tc>
        <w:tc>
          <w:tcPr>
            <w:tcW w:w="815"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62" w:type="dxa"/>
            <w:tcBorders>
              <w:top w:val="single" w:color="000000" w:sz="4" w:space="0"/>
              <w:left w:val="single" w:color="000000" w:sz="4" w:space="0"/>
              <w:bottom w:val="single" w:color="000000"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21</w:t>
            </w:r>
          </w:p>
        </w:tc>
        <w:tc>
          <w:tcPr>
            <w:tcW w:w="659" w:type="dxa"/>
            <w:vMerge w:val="continue"/>
            <w:tcBorders>
              <w:left w:val="single" w:color="auto"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auto"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杭州余杭区产业发展服务有限公司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行政管理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政治学类、马克思主义理论类、中国语言文学类、新闻传播学类、工商管理类、公共管理类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1.中共党员（含预备党员）；</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2.具有相关工作经历者优先；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eastAsia" w:ascii="仿宋_GB2312" w:hAnsi="宋体" w:eastAsia="仿宋_GB2312" w:cs="仿宋_GB2312"/>
                <w:i w:val="0"/>
                <w:color w:val="auto"/>
                <w:kern w:val="0"/>
                <w:sz w:val="18"/>
                <w:szCs w:val="18"/>
                <w:highlight w:val="none"/>
                <w:u w:val="none"/>
                <w:lang w:val="en-US" w:eastAsia="zh-CN"/>
              </w:rPr>
            </w:pPr>
            <w:r>
              <w:rPr>
                <w:rFonts w:hint="eastAsia" w:ascii="仿宋_GB2312" w:hAnsi="宋体" w:eastAsia="仿宋_GB2312" w:cs="仿宋_GB2312"/>
                <w:i w:val="0"/>
                <w:color w:val="auto"/>
                <w:kern w:val="0"/>
                <w:sz w:val="18"/>
                <w:szCs w:val="18"/>
                <w:highlight w:val="none"/>
                <w:u w:val="none"/>
                <w:lang w:val="en-US" w:eastAsia="zh-CN"/>
              </w:rPr>
              <w:t>0571-88697236</w:t>
            </w:r>
          </w:p>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0571-89515926</w:t>
            </w:r>
          </w:p>
        </w:tc>
        <w:tc>
          <w:tcPr>
            <w:tcW w:w="815" w:type="dxa"/>
            <w:tcBorders>
              <w:top w:val="single" w:color="auto"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62" w:type="dxa"/>
            <w:tcBorders>
              <w:top w:val="single" w:color="000000" w:sz="4" w:space="0"/>
              <w:left w:val="single" w:color="000000" w:sz="4" w:space="0"/>
              <w:bottom w:val="single" w:color="000000"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22</w:t>
            </w:r>
          </w:p>
        </w:tc>
        <w:tc>
          <w:tcPr>
            <w:tcW w:w="659" w:type="dxa"/>
            <w:vMerge w:val="continue"/>
            <w:tcBorders>
              <w:left w:val="single" w:color="auto"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auto"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杭州余杭区产业发展服务有限公司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商务服务</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电子商务类、经济与贸易类、工商管理类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1.具有相关工作经历者优先；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eastAsia" w:ascii="仿宋_GB2312" w:hAnsi="宋体" w:eastAsia="仿宋_GB2312" w:cs="仿宋_GB2312"/>
                <w:i w:val="0"/>
                <w:color w:val="auto"/>
                <w:kern w:val="0"/>
                <w:sz w:val="18"/>
                <w:szCs w:val="18"/>
                <w:highlight w:val="none"/>
                <w:u w:val="none"/>
                <w:lang w:val="en-US" w:eastAsia="zh-CN"/>
              </w:rPr>
            </w:pPr>
            <w:r>
              <w:rPr>
                <w:rFonts w:hint="eastAsia" w:ascii="仿宋_GB2312" w:hAnsi="宋体" w:eastAsia="仿宋_GB2312" w:cs="仿宋_GB2312"/>
                <w:i w:val="0"/>
                <w:color w:val="auto"/>
                <w:kern w:val="0"/>
                <w:sz w:val="18"/>
                <w:szCs w:val="18"/>
                <w:highlight w:val="none"/>
                <w:u w:val="none"/>
                <w:lang w:val="en-US" w:eastAsia="zh-CN"/>
              </w:rPr>
              <w:t>0571-88697236</w:t>
            </w:r>
          </w:p>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0571-89515926</w:t>
            </w:r>
          </w:p>
        </w:tc>
        <w:tc>
          <w:tcPr>
            <w:tcW w:w="815" w:type="dxa"/>
            <w:vMerge w:val="restart"/>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62" w:type="dxa"/>
            <w:tcBorders>
              <w:top w:val="single" w:color="000000" w:sz="4" w:space="0"/>
              <w:left w:val="single" w:color="000000" w:sz="4" w:space="0"/>
              <w:bottom w:val="single" w:color="000000"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23</w:t>
            </w:r>
          </w:p>
        </w:tc>
        <w:tc>
          <w:tcPr>
            <w:tcW w:w="659" w:type="dxa"/>
            <w:vMerge w:val="continue"/>
            <w:tcBorders>
              <w:left w:val="single" w:color="auto"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auto"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杭州余杭区产业发展服务有限公司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园区运营</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经济学类、金融学类、工商管理类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1.具有相关工作经历者优先；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eastAsia" w:ascii="仿宋_GB2312" w:hAnsi="宋体" w:eastAsia="仿宋_GB2312" w:cs="仿宋_GB2312"/>
                <w:i w:val="0"/>
                <w:color w:val="auto"/>
                <w:kern w:val="0"/>
                <w:sz w:val="18"/>
                <w:szCs w:val="18"/>
                <w:highlight w:val="none"/>
                <w:u w:val="none"/>
                <w:lang w:val="en-US" w:eastAsia="zh-CN"/>
              </w:rPr>
            </w:pPr>
            <w:r>
              <w:rPr>
                <w:rFonts w:hint="eastAsia" w:ascii="仿宋_GB2312" w:hAnsi="宋体" w:eastAsia="仿宋_GB2312" w:cs="仿宋_GB2312"/>
                <w:i w:val="0"/>
                <w:color w:val="auto"/>
                <w:kern w:val="0"/>
                <w:sz w:val="18"/>
                <w:szCs w:val="18"/>
                <w:highlight w:val="none"/>
                <w:u w:val="none"/>
                <w:lang w:val="en-US" w:eastAsia="zh-CN"/>
              </w:rPr>
              <w:t>0571-88697236</w:t>
            </w:r>
          </w:p>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0571-89515926</w:t>
            </w:r>
          </w:p>
        </w:tc>
        <w:tc>
          <w:tcPr>
            <w:tcW w:w="815" w:type="dxa"/>
            <w:vMerge w:val="continue"/>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62" w:type="dxa"/>
            <w:tcBorders>
              <w:top w:val="single" w:color="000000" w:sz="4" w:space="0"/>
              <w:left w:val="single" w:color="000000" w:sz="4" w:space="0"/>
              <w:bottom w:val="single" w:color="000000"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24</w:t>
            </w:r>
          </w:p>
        </w:tc>
        <w:tc>
          <w:tcPr>
            <w:tcW w:w="659" w:type="dxa"/>
            <w:vMerge w:val="continue"/>
            <w:tcBorders>
              <w:left w:val="single" w:color="auto"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auto"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杭州余杭区产业发展服务有限公司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运维工程师</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电子信息类、计算机类、材料类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1.具有相关工作经历者优先；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eastAsia" w:ascii="仿宋_GB2312" w:hAnsi="宋体" w:eastAsia="仿宋_GB2312" w:cs="仿宋_GB2312"/>
                <w:i w:val="0"/>
                <w:color w:val="auto"/>
                <w:kern w:val="0"/>
                <w:sz w:val="18"/>
                <w:szCs w:val="18"/>
                <w:highlight w:val="none"/>
                <w:u w:val="none"/>
                <w:lang w:val="en-US" w:eastAsia="zh-CN"/>
              </w:rPr>
            </w:pPr>
            <w:r>
              <w:rPr>
                <w:rFonts w:hint="eastAsia" w:ascii="仿宋_GB2312" w:hAnsi="宋体" w:eastAsia="仿宋_GB2312" w:cs="仿宋_GB2312"/>
                <w:i w:val="0"/>
                <w:color w:val="auto"/>
                <w:kern w:val="0"/>
                <w:sz w:val="18"/>
                <w:szCs w:val="18"/>
                <w:highlight w:val="none"/>
                <w:u w:val="none"/>
                <w:lang w:val="en-US" w:eastAsia="zh-CN"/>
              </w:rPr>
              <w:t>0571-88697236</w:t>
            </w:r>
          </w:p>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0571-89515926</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62" w:type="dxa"/>
            <w:tcBorders>
              <w:top w:val="single" w:color="000000" w:sz="4" w:space="0"/>
              <w:left w:val="single" w:color="000000" w:sz="4" w:space="0"/>
              <w:bottom w:val="single" w:color="000000"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25</w:t>
            </w:r>
          </w:p>
        </w:tc>
        <w:tc>
          <w:tcPr>
            <w:tcW w:w="659" w:type="dxa"/>
            <w:vMerge w:val="continue"/>
            <w:tcBorders>
              <w:left w:val="single" w:color="auto" w:sz="4" w:space="0"/>
              <w:right w:val="single" w:color="auto"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auto"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杭州余杭安保服务有限公司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党工群综合</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工商管理类、中国语言文学类、新闻传播学类、政治学类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1.具有2年及以上党建、工会 、文字相关工作经验；</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2.政治面貌要求为中共党员（含中共预备党员）；</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0571-89050002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562" w:type="dxa"/>
            <w:tcBorders>
              <w:top w:val="single" w:color="000000" w:sz="4" w:space="0"/>
              <w:left w:val="single" w:color="000000" w:sz="4" w:space="0"/>
              <w:bottom w:val="single" w:color="000000"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26</w:t>
            </w:r>
          </w:p>
        </w:tc>
        <w:tc>
          <w:tcPr>
            <w:tcW w:w="659" w:type="dxa"/>
            <w:vMerge w:val="continue"/>
            <w:tcBorders>
              <w:left w:val="single" w:color="auto"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auto"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杭州余杭安保服务有限公司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财务部副经理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工商管理类、财务会计类、财政税务类、经济学类、应用经济学类、金融学类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eastAsia" w:ascii="仿宋_GB2312" w:hAnsi="宋体" w:eastAsia="仿宋_GB2312" w:cs="仿宋_GB2312"/>
                <w:i w:val="0"/>
                <w:color w:val="auto"/>
                <w:kern w:val="0"/>
                <w:sz w:val="18"/>
                <w:szCs w:val="18"/>
                <w:highlight w:val="none"/>
                <w:u w:val="none"/>
                <w:lang w:val="en-US" w:eastAsia="zh-CN"/>
              </w:rPr>
            </w:pPr>
            <w:r>
              <w:rPr>
                <w:rFonts w:hint="eastAsia" w:ascii="仿宋_GB2312" w:hAnsi="宋体" w:eastAsia="仿宋_GB2312" w:cs="仿宋_GB2312"/>
                <w:i w:val="0"/>
                <w:color w:val="auto"/>
                <w:kern w:val="0"/>
                <w:sz w:val="18"/>
                <w:szCs w:val="18"/>
                <w:highlight w:val="none"/>
                <w:u w:val="none"/>
                <w:lang w:val="en-US" w:eastAsia="zh-CN"/>
              </w:rPr>
              <w:t>1.具有5年及以上财务会计工作经历；</w:t>
            </w:r>
          </w:p>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2.具有注册资本1000万以上企业2年及以上工作经历；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3.具有中级及以上会计师职称或注册会计师证书；</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4.具有硕士研究生及以上学历学位的，不限户籍。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0571-89050002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562" w:type="dxa"/>
            <w:tcBorders>
              <w:top w:val="single" w:color="000000" w:sz="4" w:space="0"/>
              <w:left w:val="single" w:color="000000" w:sz="4" w:space="0"/>
              <w:bottom w:val="single" w:color="000000"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27</w:t>
            </w:r>
          </w:p>
        </w:tc>
        <w:tc>
          <w:tcPr>
            <w:tcW w:w="659" w:type="dxa"/>
            <w:vMerge w:val="continue"/>
            <w:tcBorders>
              <w:left w:val="single" w:color="auto"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auto"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杭州余杭安保服务有限公司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安保主管</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专业不限</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1.具有2年及以上公安或保安等相关工作经历；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2.退伍军人或二级保安管理师证书者优先考虑；</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0571-89050002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需外勤办公，适合男性报考。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62" w:type="dxa"/>
            <w:tcBorders>
              <w:top w:val="single" w:color="000000" w:sz="4" w:space="0"/>
              <w:left w:val="single" w:color="000000" w:sz="4" w:space="0"/>
              <w:bottom w:val="single" w:color="000000"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28</w:t>
            </w:r>
          </w:p>
        </w:tc>
        <w:tc>
          <w:tcPr>
            <w:tcW w:w="659" w:type="dxa"/>
            <w:vMerge w:val="continue"/>
            <w:tcBorders>
              <w:left w:val="single" w:color="auto" w:sz="4" w:space="0"/>
              <w:bottom w:val="single" w:color="auto"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auto"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杭州余杭安保服务有限公司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商务经理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建筑工程管理类、土木类、土建施工类、自动化类、计算机类、电子信息类、机电工程类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1.具有2年及以上商务相关工作经验；</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2.具有至少2项及以上相关方案业绩；</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3.具有一级建造师证（机电专业）优先考虑；</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4.具有硕士研究生及以上学历学位的，不限户籍。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0571-89050002</w:t>
            </w:r>
          </w:p>
        </w:tc>
        <w:tc>
          <w:tcPr>
            <w:tcW w:w="815" w:type="dxa"/>
            <w:tcBorders>
              <w:top w:val="nil"/>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62" w:type="dxa"/>
            <w:tcBorders>
              <w:top w:val="single" w:color="000000" w:sz="4" w:space="0"/>
              <w:left w:val="single" w:color="000000" w:sz="4" w:space="0"/>
              <w:bottom w:val="single" w:color="000000"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29</w:t>
            </w:r>
          </w:p>
        </w:tc>
        <w:tc>
          <w:tcPr>
            <w:tcW w:w="659" w:type="dxa"/>
            <w:vMerge w:val="restart"/>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杭州余杭国有资本投资运营集团有限公司</w:t>
            </w:r>
          </w:p>
        </w:tc>
        <w:tc>
          <w:tcPr>
            <w:tcW w:w="957" w:type="dxa"/>
            <w:tcBorders>
              <w:top w:val="single" w:color="000000" w:sz="4" w:space="0"/>
              <w:left w:val="single" w:color="auto"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杭州余杭安保服务有限公司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技术主管</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土木类、土建施工类、自动化类、计算机类、电子信息类、机电工程类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1.具有2年及以上信息化工程或网络管理相关工作经历；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2.具有至少2项及以上的工程业绩，并能提供相关证明者优先考虑；</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3.具有建造师证（机电专业）优先考虑；</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4.具有硕士研究生及以上学历学位的，不限户籍。</w:t>
            </w:r>
          </w:p>
        </w:tc>
        <w:tc>
          <w:tcPr>
            <w:tcW w:w="913" w:type="dxa"/>
            <w:tcBorders>
              <w:top w:val="single" w:color="000000" w:sz="4" w:space="0"/>
              <w:left w:val="single" w:color="000000" w:sz="4" w:space="0"/>
              <w:bottom w:val="single" w:color="000000"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0571-89050002</w:t>
            </w:r>
          </w:p>
        </w:tc>
        <w:tc>
          <w:tcPr>
            <w:tcW w:w="815"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562" w:type="dxa"/>
            <w:tcBorders>
              <w:top w:val="single" w:color="000000" w:sz="4" w:space="0"/>
              <w:left w:val="single" w:color="000000" w:sz="4" w:space="0"/>
              <w:bottom w:val="single" w:color="000000"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30</w:t>
            </w:r>
          </w:p>
        </w:tc>
        <w:tc>
          <w:tcPr>
            <w:tcW w:w="659" w:type="dxa"/>
            <w:vMerge w:val="continue"/>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auto"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杭州余杭安保服务有限公司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技术人员</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4</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土木类、土建施工类、自动化类、计算机类、电子信息类、机电工程类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1.具有2年及以上信息化工程或网络管理相关工作经历；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2.具有建造师证（机电专业）、高空作业证优先考虑；</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0571-89050002</w:t>
            </w:r>
          </w:p>
        </w:tc>
        <w:tc>
          <w:tcPr>
            <w:tcW w:w="815" w:type="dxa"/>
            <w:tcBorders>
              <w:top w:val="single" w:color="auto"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需户外高空作业，适合男性报考。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562" w:type="dxa"/>
            <w:tcBorders>
              <w:top w:val="single" w:color="000000" w:sz="4" w:space="0"/>
              <w:left w:val="single" w:color="000000" w:sz="4" w:space="0"/>
              <w:bottom w:val="single" w:color="000000"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31</w:t>
            </w:r>
          </w:p>
        </w:tc>
        <w:tc>
          <w:tcPr>
            <w:tcW w:w="659" w:type="dxa"/>
            <w:vMerge w:val="continue"/>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auto"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杭州余杭区后勤产业发展有限公司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行政管理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中国语言文学类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1.具有2年及以上基层工作经历；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2.能熟练运用Office相关办公软件，并持有计算机二级及以上办公类证书；</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0571-89391226</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9"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32</w:t>
            </w:r>
          </w:p>
        </w:tc>
        <w:tc>
          <w:tcPr>
            <w:tcW w:w="659" w:type="dxa"/>
            <w:vMerge w:val="restart"/>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杭州余杭城市发展投资集团有限公司</w:t>
            </w: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杭州余杭城市发展投资集团有限公司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党建人力资源部副经理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40周岁及以下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研究生及以上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硕士及以上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人力资源开发与管理、人力资源管理、组织与人力资源管理</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1.具有5年及以上人力资源管理工作经历，并持有高级经济师（人力资源专业）职称；</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2.本科、研究生学习阶段毕业于双一流建设高校且为人力资源管理相关专业；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3.熟悉人力资源六大板块业务，熟悉人力资源工作相关法律法规。</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0571-88683502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聘期3年，每年对业绩情况进行考核，考核不合格予以解聘，首个聘期（3年）满，对聘期进行考核，对符合任职条件的人员可以续聘。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33</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杭州余杭城市发展投资集团有限公司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综合文字</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汉语言文学、秘书学、高级文秘、文秘与办公自动化、新闻学、广告学、信息传播与策划、网络与新媒体</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学历需符合以下条件之一：</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①本科学历者需毕业于双一流建设高校；</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②全日制硕士及以上学历，且本科期间专业需符合岗位专业要求；</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③海外（境外）世界百强高校本科及以上毕业生，浙江籍优先。</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0571-88683502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34</w:t>
            </w:r>
          </w:p>
        </w:tc>
        <w:tc>
          <w:tcPr>
            <w:tcW w:w="659" w:type="dxa"/>
            <w:vMerge w:val="restart"/>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杭州余杭城市发展投资集团有限公司</w:t>
            </w:r>
          </w:p>
        </w:tc>
        <w:tc>
          <w:tcPr>
            <w:tcW w:w="957" w:type="dxa"/>
            <w:tcBorders>
              <w:top w:val="single" w:color="auto"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杭州余杭城市发展投资集团有限公司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财政学、会计学、财务管理、财务会计与审计、审计学</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1.学历需符合以下条件之一：</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①本科学历者需毕业于双一流建设高校；</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②全日制硕士及以上学历，且本科期间专业需符合岗位专业要求；</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③海外（境外）世界百强高校本科及以上毕业生，浙江籍优先；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2.具有2年及以上财务管理等相关工作经历。</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0571-88683502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35</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杭州余杭城市发展投资集团有限公司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土地规划</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城乡规划、城市规划、土地规划与管理、土地规划与利用、人文地理与城乡规划</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1.学历需符合以下条件之一：</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①本科学历者需毕业于双一流建设高校；</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②全日制硕士及以上学历，且本科期间专业需符合岗位专业要求；</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③海外（境外）世界百强高校本科及以上毕业生，浙江籍优先；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2.熟悉土地资源管理、控制性详细规划、专项规划等相关知识；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3.熟练掌握CAD、Photoshop等制图软件。</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0571-88683502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36</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杭州余杭市政公用建设有限公司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市政类工程部副经理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40周岁及以下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土木工程、城市地下空间工程、水利与交通工程、道路桥梁与渡河工程、交通土建工程、工程管理</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1.学历需符合以下条件之一：</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①本科学历者需毕业于双一流建设高校；</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②全日制硕士及以上学历，且本科期间专业需符合岗位专业要求；</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③海外（境外）世界百强高校本科及以上毕业生，浙江籍优先；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2.具有5年及以上市政工程等相关工作经历；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3.具有高级工程师证或一级建造师证；</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4.熟练掌握CAD、Photoshop制图软件。</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0571-88683502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37</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杭州余杭市政公用建设有限公司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市政工程管理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土木工程、城市地下空间工程、水利与交通工程、道路桥梁与渡河工程、交通土建工程、工程管理</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1.学历需符合以下条件之一：</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①本科学历者需毕业于双一流建设高校；</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②全日制硕士及以上学历，且本科期间专业需符合岗位专业要求；</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③海外（境外）世界百强高校本科及以上毕业生，浙江籍优先；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2.具有1年及以上市政工程等相关工作经历；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3.具有高级工程师证或一级建造师证者，年龄可放宽至40周岁；</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4.熟练掌握CAD、Photoshop等制图软件。</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0571-88683502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38</w:t>
            </w:r>
          </w:p>
        </w:tc>
        <w:tc>
          <w:tcPr>
            <w:tcW w:w="659" w:type="dxa"/>
            <w:vMerge w:val="restart"/>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杭州余杭城市发展投资集团有限公司</w:t>
            </w: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杭州余杭市政公用建设有限公司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给排水工程管理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给排水科学与工程、给水排水、给排水工程、给水排水工程</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1.学历需符合以下条件之一：</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①本科学历者需毕业于双一流建设高校；</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②全日制硕士及以上学历，且本科期间专业需符合岗位专业要求；</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③海外（境外）世界百强高校本科及以上毕业生，浙江籍优先；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2.具有1年及以上暖通、给排水等相关工作经历；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3.具有高级工程师证或一级建造师证者，年龄可放宽至40周岁；</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4.熟练掌握CAD、Photoshop等制图软件。</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0571-88683502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39</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杭州余杭市政公用建设有限公司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工程造价管理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工程造价、工程造价管理</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1.学历需符合以下条件之一：</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①本科学历者需毕业于双一流建设高校；</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②全日制硕士及以上学历，且本科期间专业需符合岗位专业要求；</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③海外（境外）世界百强高校本科及以上毕业生，浙江籍优先；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2.具有2年及以上造价管理等相关工作经历；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3.具有二级造价工程师证。</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0571-88683502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40</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杭州余杭市政公用建设有限公司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工程安全管理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安全工程</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符合下列条件：</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1.具有2年及以上工程安全管理等相关工作经历；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2.具有中级注册安全工程师证。</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0571-88683502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7"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41</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杭州余杭市政公用建设有限公司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园林工程管理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风景园林、景观学、景观设计、景观建筑设计</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1.学历需符合以下条件之一：</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①本科学历者需毕业于双一流建设高校；</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②全日制硕士及以上学历，且本科期间专业需符合岗位专业要求；</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③海外（境外）世界百强高校本科及以上毕业生，浙江籍优先；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2.具有2年及以上园林景观等相关工作经历；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3.具有中级园林绿化工程师证。</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0571-88683502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42</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杭州余杭置业有限公司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房建类工程部副经理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40周岁及以下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建筑学、工程管理、房地产开发与管理、管理科学与工程、建筑工程、建筑环境与设备工程、建筑设施智能技术</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1.学历需符合以下条件之一：</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①本科学历者需毕业于双一流建设高校；</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②全日制硕士及以上学历，且本科期间专业需符合岗位专业要求；</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③海外（境外）世界百强高校本科及以上毕业生，浙江籍优先；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2.具有高级工程师证或一级建造师证；</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3.熟练掌握CAD、Photoshop等制图软件。</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0571-88683502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43</w:t>
            </w:r>
          </w:p>
        </w:tc>
        <w:tc>
          <w:tcPr>
            <w:tcW w:w="659" w:type="dxa"/>
            <w:vMerge w:val="restart"/>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杭州余杭城市发展投资集团有限公司</w:t>
            </w: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杭州余杭置业有限公司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房建工程设计</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建筑学、城市设计、智慧建筑与制造、</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工业与民用建筑、建筑工程、工程结构分析、智能制造</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1.学历需符合以下条件之一：</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①本科学历者需毕业于双一流建设高校；</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②全日制硕士及以上学历，且本科期间专业需符合岗位专业要求；</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③海外（境外）世界百强高校本科及以上毕业生，浙江籍优先；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2.具有高级工程师证或一级建造师证者，年龄可放宽至40周岁；</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3.熟练掌握CAD、Photoshop等制图软件。</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0571-88683502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44</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杭州余杭置业有限公司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房建工程管理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建筑学、工程管理、房地产开发与管理、管理科学与工程、建筑工程、建筑环境与设备工程、建筑设施智能技术</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1.学历需符合以下条件之一：</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①本科学历者需毕业于双一流建设高校；</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②全日制硕士及以上学历，且本科期间专业需符合岗位专业要求；</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③海外（境外）世界百强高校本科及以上毕业生，浙江籍优先；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2.具有高级工程师证或一级建造师证者，年龄可适当放宽至40周岁；</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3.熟练掌握CAD、Photoshop等制图软件。</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0571-88683502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45</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杭州未来科技城园区管理有限公司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会计学、会计、财务管理、财务会计与审计、审计学、审计、财务审计与风险管理、财政学</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0571-88605310</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46</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杭州未来科技城园区管理有限公司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宣传策划</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文化产业、网络与新媒体、新媒体、新闻传播学、新闻学、新闻与传播、传媒策划与管理、新媒体与信息网络、汉语言文学、外国语言文学</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0571-88605310</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47</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杭州未来科技城产业发展有限公司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工程管理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给排水工程、给排水科学与工程、供热、供燃气、通风及空调工程、节能工程与楼宇智能化等相关专业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1.具有3年及以上相关工作经历；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0571-88605310</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48</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杭州未来科技城产业发展有限公司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经济管理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经济学类、金融学类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0571-88605310</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auto"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49</w:t>
            </w:r>
          </w:p>
        </w:tc>
        <w:tc>
          <w:tcPr>
            <w:tcW w:w="659" w:type="dxa"/>
            <w:vMerge w:val="restart"/>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杭州余杭城市发展投资集团有限公司</w:t>
            </w: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杭州未来科技城招商服务有限公司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项目招引</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研究生及以上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硕士及以上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材料科学与工程类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rPr>
                <w:rFonts w:hint="default" w:ascii="Times New Roman" w:hAnsi="Times New Roman" w:eastAsia="仿宋_GB2312" w:cs="Times New Roman"/>
                <w:i w:val="0"/>
                <w:color w:val="auto"/>
                <w:sz w:val="18"/>
                <w:szCs w:val="18"/>
                <w:highlight w:val="none"/>
                <w:u w:val="none"/>
              </w:rPr>
            </w:pP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0571-88605310</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50</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杭州未来科技城招商服务有限公司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经济管理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经济学类、金融学类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0571-88605310</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51</w:t>
            </w:r>
          </w:p>
        </w:tc>
        <w:tc>
          <w:tcPr>
            <w:tcW w:w="659" w:type="dxa"/>
            <w:vMerge w:val="restart"/>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杭州余杭交通投资集团有限公司</w:t>
            </w: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杭州余杭交通投资集团有限公司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7</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Style w:val="18"/>
                <w:rFonts w:hAnsi="宋体"/>
                <w:color w:val="auto"/>
                <w:sz w:val="18"/>
                <w:szCs w:val="18"/>
                <w:highlight w:val="none"/>
                <w:lang w:val="en-US" w:eastAsia="zh-CN"/>
              </w:rPr>
              <w:t>35</w:t>
            </w:r>
            <w:r>
              <w:rPr>
                <w:rStyle w:val="17"/>
                <w:rFonts w:hAnsi="宋体"/>
                <w:color w:val="auto"/>
                <w:sz w:val="18"/>
                <w:szCs w:val="18"/>
                <w:highlight w:val="none"/>
                <w:lang w:val="en-US" w:eastAsia="zh-CN"/>
              </w:rPr>
              <w:t>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财务管理、会计等相关专业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需符合下列条件之一：</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1.本科及以上学历，双一流院校或浙江省重点建设院校毕业；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2.全日制研究生学历或具有会计师及以上职称的，不限毕业院校和户籍。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0571-86165176</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52</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杭州余杭交通投资集团有限公司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工程管理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45周岁及以下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土木工程、建筑学、道路与桥梁工程等相关专业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1.具有市政类高级工程师或市政一级建造师证书，8年以上施工管理工作经历，且担任过2个二级市政施工资质及以上标准要求的施工工程业绩的项目经理（业绩需在全国四库一平台网站可查询并真实有效）；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0571-86165176</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53</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杭州余杭交通投资集团有限公司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Style w:val="17"/>
                <w:rFonts w:hAnsi="宋体"/>
                <w:color w:val="auto"/>
                <w:sz w:val="18"/>
                <w:szCs w:val="18"/>
                <w:highlight w:val="none"/>
                <w:lang w:val="en-US" w:eastAsia="zh-CN"/>
              </w:rPr>
              <w:t>造价工程</w:t>
            </w:r>
            <w:r>
              <w:rPr>
                <w:rStyle w:val="18"/>
                <w:rFonts w:hAnsi="宋体"/>
                <w:color w:val="auto"/>
                <w:sz w:val="18"/>
                <w:szCs w:val="18"/>
                <w:highlight w:val="none"/>
                <w:lang w:val="en-US" w:eastAsia="zh-CN"/>
              </w:rPr>
              <w:t>1</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Style w:val="18"/>
                <w:rFonts w:hAnsi="宋体"/>
                <w:color w:val="auto"/>
                <w:sz w:val="18"/>
                <w:szCs w:val="18"/>
                <w:highlight w:val="none"/>
                <w:lang w:val="en-US" w:eastAsia="zh-CN"/>
              </w:rPr>
              <w:t>35</w:t>
            </w:r>
            <w:r>
              <w:rPr>
                <w:rStyle w:val="17"/>
                <w:rFonts w:hAnsi="宋体"/>
                <w:color w:val="auto"/>
                <w:sz w:val="18"/>
                <w:szCs w:val="18"/>
                <w:highlight w:val="none"/>
                <w:lang w:val="en-US" w:eastAsia="zh-CN"/>
              </w:rPr>
              <w:t>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工程造价、工程财务与造价管理等相关专业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1.具有二级及以上造价工程师证书（建筑专业）和助理工程师及以上职称（市政方向）；</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0571-86165176</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54</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杭州余杭交通投资集团有限公司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Style w:val="17"/>
                <w:rFonts w:hAnsi="宋体"/>
                <w:color w:val="auto"/>
                <w:sz w:val="18"/>
                <w:szCs w:val="18"/>
                <w:highlight w:val="none"/>
                <w:lang w:val="en-US" w:eastAsia="zh-CN"/>
              </w:rPr>
              <w:t>造价工程</w:t>
            </w:r>
            <w:r>
              <w:rPr>
                <w:rStyle w:val="18"/>
                <w:rFonts w:hAnsi="宋体"/>
                <w:color w:val="auto"/>
                <w:sz w:val="18"/>
                <w:szCs w:val="18"/>
                <w:highlight w:val="none"/>
                <w:lang w:val="en-US" w:eastAsia="zh-CN"/>
              </w:rPr>
              <w:t>2</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Style w:val="18"/>
                <w:rFonts w:hAnsi="宋体"/>
                <w:color w:val="auto"/>
                <w:sz w:val="18"/>
                <w:szCs w:val="18"/>
                <w:highlight w:val="none"/>
                <w:lang w:val="en-US" w:eastAsia="zh-CN"/>
              </w:rPr>
              <w:t>35</w:t>
            </w:r>
            <w:r>
              <w:rPr>
                <w:rStyle w:val="17"/>
                <w:rFonts w:hAnsi="宋体"/>
                <w:color w:val="auto"/>
                <w:sz w:val="18"/>
                <w:szCs w:val="18"/>
                <w:highlight w:val="none"/>
                <w:lang w:val="en-US" w:eastAsia="zh-CN"/>
              </w:rPr>
              <w:t>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工程造价、工程造价管理、工程财务与造价管理等相关专业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1.具有二级及以上造价工程师证书（建筑专业）和助理工程师及以上职称（建筑方向）；</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0571-86165176</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55</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杭州余杭交通投资集团有限公司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招投标管理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Style w:val="18"/>
                <w:rFonts w:hAnsi="宋体"/>
                <w:color w:val="auto"/>
                <w:sz w:val="18"/>
                <w:szCs w:val="18"/>
                <w:highlight w:val="none"/>
                <w:lang w:val="en-US" w:eastAsia="zh-CN"/>
              </w:rPr>
              <w:t>35</w:t>
            </w:r>
            <w:r>
              <w:rPr>
                <w:rStyle w:val="17"/>
                <w:rFonts w:hAnsi="宋体"/>
                <w:color w:val="auto"/>
                <w:sz w:val="18"/>
                <w:szCs w:val="18"/>
                <w:highlight w:val="none"/>
                <w:lang w:val="en-US" w:eastAsia="zh-CN"/>
              </w:rPr>
              <w:t>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市政工程、土木工程、工程管理等相关专业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1.具有3年及以上工程招投标代理工作经历；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0571-86165176</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56</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杭州余杭交通投资集团有限公司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建筑工程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Style w:val="18"/>
                <w:rFonts w:hAnsi="宋体"/>
                <w:color w:val="auto"/>
                <w:sz w:val="18"/>
                <w:szCs w:val="18"/>
                <w:highlight w:val="none"/>
                <w:lang w:val="en-US" w:eastAsia="zh-CN"/>
              </w:rPr>
              <w:t>35</w:t>
            </w:r>
            <w:r>
              <w:rPr>
                <w:rStyle w:val="17"/>
                <w:rFonts w:hAnsi="宋体"/>
                <w:color w:val="auto"/>
                <w:sz w:val="18"/>
                <w:szCs w:val="18"/>
                <w:highlight w:val="none"/>
                <w:lang w:val="en-US" w:eastAsia="zh-CN"/>
              </w:rPr>
              <w:t>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土木工程、建筑学、建筑电气与智能化、工程管理（建筑方向）等相关专业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0571-86165176</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57</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杭州余杭交通投资集团有限公司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工程前期管理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Style w:val="18"/>
                <w:rFonts w:hAnsi="宋体"/>
                <w:color w:val="auto"/>
                <w:sz w:val="18"/>
                <w:szCs w:val="18"/>
                <w:highlight w:val="none"/>
                <w:lang w:val="en-US" w:eastAsia="zh-CN"/>
              </w:rPr>
              <w:t>35</w:t>
            </w:r>
            <w:r>
              <w:rPr>
                <w:rStyle w:val="17"/>
                <w:rFonts w:hAnsi="宋体"/>
                <w:color w:val="auto"/>
                <w:sz w:val="18"/>
                <w:szCs w:val="18"/>
                <w:highlight w:val="none"/>
                <w:lang w:val="en-US" w:eastAsia="zh-CN"/>
              </w:rPr>
              <w:t>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土木工程、土地资源管理、城乡规划、环境设计、工程管理等相关专业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0571-86165176</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58</w:t>
            </w:r>
          </w:p>
        </w:tc>
        <w:tc>
          <w:tcPr>
            <w:tcW w:w="659" w:type="dxa"/>
            <w:vMerge w:val="restart"/>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kern w:val="0"/>
                <w:sz w:val="18"/>
                <w:szCs w:val="18"/>
                <w:highlight w:val="none"/>
                <w:u w:val="none"/>
                <w:lang w:val="en-US" w:eastAsia="zh-CN"/>
              </w:rPr>
            </w:pPr>
            <w:r>
              <w:rPr>
                <w:rFonts w:hint="default" w:ascii="Times New Roman" w:hAnsi="Times New Roman" w:eastAsia="仿宋_GB2312" w:cs="Times New Roman"/>
                <w:i w:val="0"/>
                <w:color w:val="auto"/>
                <w:kern w:val="0"/>
                <w:sz w:val="18"/>
                <w:szCs w:val="18"/>
                <w:highlight w:val="none"/>
                <w:u w:val="none"/>
                <w:lang w:val="en-US" w:eastAsia="zh-CN"/>
              </w:rPr>
              <w:t>杭州余杭交通投资集团有限</w:t>
            </w:r>
          </w:p>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公司</w:t>
            </w:r>
          </w:p>
        </w:tc>
        <w:tc>
          <w:tcPr>
            <w:tcW w:w="957" w:type="dxa"/>
            <w:tcBorders>
              <w:top w:val="single" w:color="auto"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杭州余杭交通投资集团有限公司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物业管理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Style w:val="18"/>
                <w:rFonts w:hAnsi="宋体"/>
                <w:color w:val="auto"/>
                <w:sz w:val="18"/>
                <w:szCs w:val="18"/>
                <w:highlight w:val="none"/>
                <w:lang w:val="en-US" w:eastAsia="zh-CN"/>
              </w:rPr>
              <w:t>40</w:t>
            </w:r>
            <w:r>
              <w:rPr>
                <w:rStyle w:val="17"/>
                <w:rFonts w:hAnsi="宋体"/>
                <w:color w:val="auto"/>
                <w:sz w:val="18"/>
                <w:szCs w:val="18"/>
                <w:highlight w:val="none"/>
                <w:lang w:val="en-US" w:eastAsia="zh-CN"/>
              </w:rPr>
              <w:t>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物业管理、公共事业管理、工商管理等相关专业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1.具有5年及以上物业公司项目经理及以上职务从业经历的，不限专业；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0571-86165176</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59</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杭州余杭交通投资集团有限公司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项目管理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Style w:val="18"/>
                <w:rFonts w:hAnsi="宋体"/>
                <w:color w:val="auto"/>
                <w:sz w:val="18"/>
                <w:szCs w:val="18"/>
                <w:highlight w:val="none"/>
                <w:lang w:val="en-US" w:eastAsia="zh-CN"/>
              </w:rPr>
              <w:t>40</w:t>
            </w:r>
            <w:r>
              <w:rPr>
                <w:rStyle w:val="17"/>
                <w:rFonts w:hAnsi="宋体"/>
                <w:color w:val="auto"/>
                <w:sz w:val="18"/>
                <w:szCs w:val="18"/>
                <w:highlight w:val="none"/>
                <w:lang w:val="en-US" w:eastAsia="zh-CN"/>
              </w:rPr>
              <w:t>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化学工程、能源化学工程、工业工程等相关专业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1.具有5年以上加油加气站项目报批、管理经历的，不限学位；</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0571-86165176</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60</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杭州余杭交通投资集团有限公司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产业投资管理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Style w:val="18"/>
                <w:rFonts w:hAnsi="宋体"/>
                <w:color w:val="auto"/>
                <w:sz w:val="18"/>
                <w:szCs w:val="18"/>
                <w:highlight w:val="none"/>
                <w:lang w:val="en-US" w:eastAsia="zh-CN"/>
              </w:rPr>
              <w:t>35</w:t>
            </w:r>
            <w:r>
              <w:rPr>
                <w:rStyle w:val="17"/>
                <w:rFonts w:hAnsi="宋体"/>
                <w:color w:val="auto"/>
                <w:sz w:val="18"/>
                <w:szCs w:val="18"/>
                <w:highlight w:val="none"/>
                <w:lang w:val="en-US" w:eastAsia="zh-CN"/>
              </w:rPr>
              <w:t>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经济学类、金融学类、工商管理类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1.具有3年及以上商业、工业地产投资管理部门经历或产业投资咨询顾问相关行业经历的，不限专业；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0571-86165176</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3"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61</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杭州余杭重大基础设施建设有限公司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规划管理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资源环境与城乡规划管理、土地规划与管理、土地规划与利用</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0571-88755052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需24小时轮班值守，适合男性报考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62</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杭州余杭重大基础设施建设有限公司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招投标管理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经济贸易类、工商管理类、经济学类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0571-88755052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需24小时轮班值守，适合男性报考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3"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63</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杭州余杭重大基础设施建设有限公司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应急管理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电气类、机械类、化学类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0571-88755052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需24小时轮班值守，适合男性报考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3"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64</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杭州余杭重大基础设施建设有限公司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综合管理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公共事业管理、行政管理、交通管理</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1.中共党员；</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2.具有2年及以上工作经历；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0571-88755052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需24小时轮班值守，适合男性报考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65</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杭州余杭重大基础设施建设有限公司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媒体宣传</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数字媒体艺术、视觉传达、广告学</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0571-88755052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需24小时轮班值守，适合男性报考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66</w:t>
            </w:r>
          </w:p>
        </w:tc>
        <w:tc>
          <w:tcPr>
            <w:tcW w:w="659" w:type="dxa"/>
            <w:vMerge w:val="restart"/>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杭州余杭交通投资集团有限公司</w:t>
            </w: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杭州余杭重大基础设施建设有限公司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外语翻译</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外国语言文学类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0571-88755052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需24小时轮班值守，适合男性报考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67</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杭州余杭重大基础设施建设有限公司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法务工作</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法学类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1.具有法律职业资格证；</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0571-88755052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68</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杭州余杭重大基础设施建设有限公司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会计学、财务管理、审计学、经济学、统计学</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1.持有中级及以上专业技术职称者；</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2.具有2年及以上财务管理工作经历；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0571-88755052</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69</w:t>
            </w:r>
          </w:p>
        </w:tc>
        <w:tc>
          <w:tcPr>
            <w:tcW w:w="659" w:type="dxa"/>
            <w:vMerge w:val="restart"/>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杭州余杭文化旅游投资集团有限公司</w:t>
            </w:r>
          </w:p>
        </w:tc>
        <w:tc>
          <w:tcPr>
            <w:tcW w:w="957" w:type="dxa"/>
            <w:tcBorders>
              <w:top w:val="single" w:color="000000" w:sz="4" w:space="0"/>
              <w:left w:val="single" w:color="000000" w:sz="4" w:space="0"/>
              <w:bottom w:val="nil"/>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杭州市余杭文化旅游投资集团有限公司</w:t>
            </w:r>
          </w:p>
        </w:tc>
        <w:tc>
          <w:tcPr>
            <w:tcW w:w="586" w:type="dxa"/>
            <w:tcBorders>
              <w:top w:val="single" w:color="000000" w:sz="4" w:space="0"/>
              <w:left w:val="single" w:color="000000" w:sz="4" w:space="0"/>
              <w:bottom w:val="nil"/>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综合管理1</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中文、历史、新闻传播、广告学、旅游管理、美术等相关专业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双一流高校相关专业2022、2023届毕业生。</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0571-89392503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70</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nil"/>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杭州市余杭文化旅游投资集团有限公司</w:t>
            </w:r>
          </w:p>
        </w:tc>
        <w:tc>
          <w:tcPr>
            <w:tcW w:w="586" w:type="dxa"/>
            <w:tcBorders>
              <w:top w:val="single" w:color="000000" w:sz="4" w:space="0"/>
              <w:left w:val="single" w:color="000000" w:sz="4" w:space="0"/>
              <w:bottom w:val="nil"/>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综合管理2</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中文、历史、新闻传播、广告学、旅游管理、美术等相关专业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1.双一流高校相关专业毕业，1年以上相关工作经验；</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2.具有硕士研究生及以上学历学位的，不限毕业院校和户籍。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0571-89392503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71</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杭州市余杭文化旅游投资集团有限公司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法务</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法学类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1.本科第一批次招生专业毕业；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2.具有硕士研究生及以上学历学位的，不限毕业院校和户籍；</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3.具有司法部颁发的法律职业资格证书者，不限毕业院校及专业。</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0571-89392503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72</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杭州市余杭文化旅游投资集团有限公司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信息管理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计算机技术与软件等相关专业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1.本科第一批次招生专业毕业；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2.具有硕士研究生及以上学历学位的，不限毕业院校和户籍。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0571-89392503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73</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杭州市余杭文化旅游投资集团有限公司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农业管理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农学等相关专业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1.本科第一批次招生专业毕业；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2.具有硕士研究生及以上学历学位的，不限毕业院校和户籍。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0571-89392503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74</w:t>
            </w:r>
          </w:p>
        </w:tc>
        <w:tc>
          <w:tcPr>
            <w:tcW w:w="659" w:type="dxa"/>
            <w:vMerge w:val="restart"/>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杭州余杭文化旅游投资集团有限公司</w:t>
            </w: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杭州市余杭文化旅游投资集团有限公司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茶学</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茶学等相关专业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1.本科第一批次招生专业毕业；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2.具有硕士研究生及以上学历学位的，不限毕业院校和户籍。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0571-89392503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75</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杭州市余杭文化旅游投资集团有限公司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财务管理1</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财务管理、会计学、金融等相关专业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1.具有3年及以上财务管理工作经历，且具有中级会计师及以上职称或通过注册会计师专业阶段考试;</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2.本科第一批次招生专业毕业；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3.具有硕士研究生及以上学历学位的，不限毕业院校和户籍。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0571-89392503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76</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杭州市余杭文化旅游投资集团有限公司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财务管理2</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财务管理、会计学、金融等相关专业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1.本科第一批次招生专业毕业；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2.具有硕士研究生及以上学历学位的，不限毕业院校和户籍。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0571-89392503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77</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杭州市余杭文化旅游投资集团有限公司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项目主管</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土木工程、建筑学、工程管理等相关专业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1.5年及以上工程项目管理经历；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2.具有工程师及以上职称或工程类一级职业资格;</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3.本科第一批次招生专业毕业；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4.具有硕士研究生及以上学历学位的，不限毕业院校和户籍。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0571-89392503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需工地作业，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适合男性报考。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78</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杭州市余杭文化旅游投资集团有限公司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项目管理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土木工程、工程管理、机电一体化等相关专业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1.本科第一批次招生专业毕业；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2.具有硕士研究生及以上学历学位的，不限毕业院校和户籍。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0571-89392503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需工地作业，适合男性报考。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3"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79</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杭州市余杭文化旅游投资集团有限公司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规划管理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城乡规划、土地资源管理等相关专业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1.本科第一批次招生专业毕业；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2.具有硕士研究生及以上学历学位的，不限毕业院校和户籍。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0571-89392503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需工地作业，适合男性报考。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80</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杭州市余杭文化旅游投资集团有限公司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工程造价</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预决算、工程管理等相关专业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2.本科第一批次招生专业毕业；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3.具有硕士研究生及以上学历学位的，不限毕业院校和户籍。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0571-89392503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需工地作业，适合男性报考。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81</w:t>
            </w:r>
          </w:p>
        </w:tc>
        <w:tc>
          <w:tcPr>
            <w:tcW w:w="659" w:type="dxa"/>
            <w:vMerge w:val="restart"/>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kern w:val="0"/>
                <w:sz w:val="18"/>
                <w:szCs w:val="18"/>
                <w:highlight w:val="none"/>
                <w:u w:val="none"/>
                <w:lang w:val="en-US" w:eastAsia="zh-CN"/>
              </w:rPr>
            </w:pPr>
            <w:r>
              <w:rPr>
                <w:rFonts w:hint="default" w:ascii="Times New Roman" w:hAnsi="Times New Roman" w:eastAsia="仿宋_GB2312" w:cs="Times New Roman"/>
                <w:i w:val="0"/>
                <w:color w:val="auto"/>
                <w:kern w:val="0"/>
                <w:sz w:val="18"/>
                <w:szCs w:val="18"/>
                <w:highlight w:val="none"/>
                <w:u w:val="none"/>
                <w:lang w:val="en-US" w:eastAsia="zh-CN"/>
              </w:rPr>
              <w:t>杭州余杭文化旅游投资集团有限公司</w:t>
            </w:r>
          </w:p>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auto"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杭州市余杭文化旅游投资集团有限公司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非遗管理1</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茶学、非物质文化遗产保护等相关专业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1.本科第一批次招生专业毕业；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2.具有硕士研究生及以上学历学位的，不限毕业院校和户籍。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0571-89392503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82</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杭州市余杭文化旅游投资集团有限公司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非遗管理2</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新媒体艺术、网络与新媒体、新媒体与信息网络、美术学、文艺编导等相关专业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1.本科第一批次招生专业毕业；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2.具有硕士研究生及以上学历学位的，不限毕业院校和户籍。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0571-89392503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83</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杭州市余杭文化旅游投资集团有限公司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非遗管理3</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浙江省</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中国文学与文化、民族文学与新闻传播学、媒体语言学、汉语言文学、文化传播与文化产业学等相关专业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1.本科第一批次招生专业毕业；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2.具有硕士研究生及以上学历学位的，不限毕业院校和户籍。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0571-89392503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84</w:t>
            </w:r>
          </w:p>
        </w:tc>
        <w:tc>
          <w:tcPr>
            <w:tcW w:w="659" w:type="dxa"/>
            <w:vMerge w:val="restart"/>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杭州良渚古城文旅集团有限公司</w:t>
            </w: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杭州良渚古城文旅集团有限公司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财务管理、会计学、审计学等相关专业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1.具有2年及以上招聘岗位相关工作经历；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2.具有硕士研究生及以上学历的，年龄可放宽至40周岁，不限户籍。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0571-88753693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85</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杭州良渚古城文旅集团有限公司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综合文字</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汉语言文学、新闻学、秘书学等相关专业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1.具有2年及以上材料撰写相关经历；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2.具有硕士研究生及以上学历的，年龄可放宽至40周岁，不限户籍。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0571-88753693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86</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杭州良渚古城文旅集团有限公司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工程管理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2</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土木工程、工程管理、工程审计、工程造价等相关专业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1.具有2年及以上招聘岗位相关工作经历；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2.具有硕士研究生及以上学历或具有工程相关高级职称的，年龄可放宽到40周岁，不限户籍。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0571-88753693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需室外和登高工作，适合男性报考。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87</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杭州良渚古城资产经营管理有限公司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资产经营管理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工商管理、市场营销、物业管理等相关专业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1.具有2年及以上招聘岗位相关工作经历；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2.具有硕士研究生及以上学历的，年龄可放宽至40周岁，不限户籍。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0571-88753693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需室外和登高工作，适合男性报考。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7"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88</w:t>
            </w:r>
          </w:p>
        </w:tc>
        <w:tc>
          <w:tcPr>
            <w:tcW w:w="659" w:type="dxa"/>
            <w:vMerge w:val="restart"/>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杭州良渚古城文旅集团有限公司</w:t>
            </w:r>
          </w:p>
        </w:tc>
        <w:tc>
          <w:tcPr>
            <w:tcW w:w="957" w:type="dxa"/>
            <w:tcBorders>
              <w:top w:val="single" w:color="auto"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杭州良渚玉文化创意产业有限公司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市场销售</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工商管理、市场营销、广告学、贸易经济等相关专业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1.具有2年及以上招聘岗位相关工作经历；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2.具有硕士研究生及以上学历的，年龄可放宽至40周岁，不限户籍。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0571-88753693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薪酬为底薪+提成的市场化薪酬模式。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89</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杭州良渚玉文化创意产业有限公司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品牌策划</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美术学、艺术设计学、市场营销、新闻学等相关专业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1.具有2年及以上招聘岗位相关工作经历；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2.具有硕士研究生及以上学历的，年龄可放宽至40周岁，不限户籍。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0571-88753693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90</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杭州良渚古城旅游发展有限公司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招商经营1</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男性</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工商管理、市场营销、物业管理等相关专业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1.具有2年及以上招聘岗位相关工作经历；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2.具有硕士研究生及以上学历的，年龄可放宽至40周岁，不限户籍。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0571-88753693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91</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杭州良渚古城旅游发展有限公司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招商经营2</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工商管理、市场营销、物业管理等相关专业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1.具有2年及以上招聘岗位相关工作经历；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2.具有硕士研究生及以上学历的，年龄可放宽至40周岁，不限户籍。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0571-88753693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需长期出差，适合男性报考。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92</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杭州良渚古城旅游发展有限公司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园区运营管理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园林、园艺、风景园林等相关专业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1.具有2年及以上招聘岗位或专业相关工作经历；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2.具有硕士研究生及以上学历的，年龄可放宽至40周岁，不限户籍。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0571-88753693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93</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杭州良渚古城旅游发展有限公司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社教专员</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4</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工商管理类、教育学类、艺术学</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1.品貌端正，身体健康，形象气质佳，男性身高不低于175cm（女性身高不低于160cm)；普通话标准、语言表达能力强、善于沟通交流；</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2.具有硕士研究生及以上学历的，年龄可放宽至40周岁，不限户籍；</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3.具备以下条件之一者，不限专业：</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①普通话达到国家二级甲等及以上；</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②具有2年及以上文博、文旅行业工作经历。</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0571-88753693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需适应户外工作及节假日上班。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94</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杭州良渚古城旅游发展有限公司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财务管理、会计学、审计学等相关专业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1.具有2年及以上岗位相关工作经历；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2.具有硕士研究生及以上学历的，年龄可放宽至40周岁，不限户籍。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0571-88753693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95</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杭州良渚古城旅游发展有限公司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市场销售</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工商管理、市场营销、广告学、贸易经济等相关专业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1.具有2年及以上岗位相关工作经历；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2.具有硕士研究生及以上学历的，年龄可放宽至40周岁，不限户籍。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0571-88753693</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薪酬为底薪+提成的市场化薪酬模式。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96</w:t>
            </w:r>
          </w:p>
        </w:tc>
        <w:tc>
          <w:tcPr>
            <w:tcW w:w="659" w:type="dxa"/>
            <w:vMerge w:val="restart"/>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杭州钱江开发区投资发展有限公司</w:t>
            </w: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杭州钱江开发区投资发展有限公司（含下属子公司）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设备类管理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 xml:space="preserve">水利水电工程、电气工程及其自动化等相关专业                                             </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1.具有机电电气、电工等相关资格证书；</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2.具有2年及以上招聘岗位相关工作经历的优先考虑；</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0571-89029218</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需开展野外作业和夜间值守，适合男性报考。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97</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杭州钱江开发区投资发展有限公司（含下属子公司）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资金管理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财务管理、会计学等相关专业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0571-89029218</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98</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杭州钱江开发区投资发展有限公司（含下属子公司）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审计监督</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会计学、审计学等相关专业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1.具有2年及以上招聘岗位相关工作经历；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0571-89029218</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99</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杭州钱江开发区投资发展有限公司（含下属子公司）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招商专员</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经济学类、管理学类、法学类、中国语言文学类、新闻传播学类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0571-89029218</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100</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杭州钱江开发区投资发展有限公司（含下属子公司）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产业服务</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经济学类、统计学类、工商管理类</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1.具有2年及以上财务或统计相关工作经历；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0571-89029218</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101</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杭州钱江开发区投资发展有限公司（含下属子公司）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工程造价</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工程造价、工程管理、土木工程等相关专业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0571-89029218</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需开展野外作业和夜间值守，适合男性报考。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7"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102</w:t>
            </w:r>
          </w:p>
        </w:tc>
        <w:tc>
          <w:tcPr>
            <w:tcW w:w="659" w:type="dxa"/>
            <w:vMerge w:val="restart"/>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杭州钱江开发区投资发展有限公司</w:t>
            </w: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杭州钱江开发区投资发展有限公司（含下属子公司）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财务管理、会计学等相关专业</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1.具有2年及以上招聘岗位相关工作经历；</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2.持有会计师或财务管理相关专业中级及以上专业技术职称；</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0571-89029218</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103</w:t>
            </w:r>
          </w:p>
        </w:tc>
        <w:tc>
          <w:tcPr>
            <w:tcW w:w="659" w:type="dxa"/>
            <w:vMerge w:val="continue"/>
            <w:tcBorders>
              <w:top w:val="single" w:color="auto" w:sz="4" w:space="0"/>
              <w:left w:val="single" w:color="000000" w:sz="4" w:space="0"/>
              <w:bottom w:val="single" w:color="auto"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杭州钱江开发区投资发展有限公司（含下属子公司）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综合管理</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35周岁及以下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 xml:space="preserve">政治学与行政学、汉语言文学、汉语言、汉语国际教育、新闻学、传播学等相关专业               </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0571-89029218</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104</w:t>
            </w:r>
          </w:p>
        </w:tc>
        <w:tc>
          <w:tcPr>
            <w:tcW w:w="659" w:type="dxa"/>
            <w:tcBorders>
              <w:top w:val="single" w:color="auto"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default" w:ascii="Times New Roman" w:hAnsi="Times New Roman" w:eastAsia="仿宋_GB2312" w:cs="Times New Roman"/>
                <w:i w:val="0"/>
                <w:color w:val="auto"/>
                <w:kern w:val="0"/>
                <w:sz w:val="18"/>
                <w:szCs w:val="18"/>
                <w:highlight w:val="none"/>
                <w:u w:val="none"/>
                <w:lang w:val="en-US" w:eastAsia="zh-CN"/>
              </w:rPr>
              <w:t>杭州良渚文化城集团有限公司</w:t>
            </w:r>
          </w:p>
        </w:tc>
        <w:tc>
          <w:tcPr>
            <w:tcW w:w="95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杭州良渚文化城集团有限公司</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运营专员</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杭州市</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40周岁及以下</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不限</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本科及以上</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学士及以上</w:t>
            </w: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物业管理、资产评估、经济学、工商管理、现代物业管理、城市设施智慧管理、区域经济学、产业经济学、工商管理、企业管理</w:t>
            </w: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1.取得物业管理、经济师等中级职称及以上专业技术职称；</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2.具有5年及以上物业管理、资产运营等相关工作经验，有10万方以上项目管理经验优先；</w:t>
            </w:r>
            <w:r>
              <w:rPr>
                <w:rFonts w:hint="eastAsia" w:ascii="仿宋_GB2312" w:hAnsi="宋体" w:eastAsia="仿宋_GB2312" w:cs="仿宋_GB2312"/>
                <w:i w:val="0"/>
                <w:color w:val="auto"/>
                <w:kern w:val="0"/>
                <w:sz w:val="18"/>
                <w:szCs w:val="18"/>
                <w:highlight w:val="none"/>
                <w:u w:val="none"/>
                <w:lang w:val="en-US" w:eastAsia="zh-CN"/>
              </w:rPr>
              <w:br w:type="textWrapping"/>
            </w:r>
            <w:r>
              <w:rPr>
                <w:rFonts w:hint="eastAsia" w:ascii="仿宋_GB2312" w:hAnsi="宋体" w:eastAsia="仿宋_GB2312" w:cs="仿宋_GB2312"/>
                <w:i w:val="0"/>
                <w:color w:val="auto"/>
                <w:kern w:val="0"/>
                <w:sz w:val="18"/>
                <w:szCs w:val="18"/>
                <w:highlight w:val="none"/>
                <w:u w:val="none"/>
                <w:lang w:val="en-US" w:eastAsia="zh-CN"/>
              </w:rPr>
              <w:t>3.具有硕士研究生及以上学历学位的，不限户籍。</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0571-89000206</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i w:val="0"/>
                <w:color w:val="auto"/>
                <w:sz w:val="18"/>
                <w:szCs w:val="18"/>
                <w:highlight w:val="none"/>
                <w:u w:val="none"/>
              </w:rPr>
            </w:pPr>
            <w:r>
              <w:rPr>
                <w:rFonts w:hint="eastAsia" w:ascii="仿宋_GB2312" w:hAnsi="宋体" w:eastAsia="仿宋_GB2312" w:cs="仿宋_GB2312"/>
                <w:i w:val="0"/>
                <w:color w:val="auto"/>
                <w:kern w:val="0"/>
                <w:sz w:val="18"/>
                <w:szCs w:val="18"/>
                <w:highlight w:val="none"/>
                <w:u w:val="no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2764" w:type="dxa"/>
            <w:gridSpan w:val="4"/>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b/>
                <w:bCs w:val="0"/>
                <w:i w:val="0"/>
                <w:color w:val="auto"/>
                <w:sz w:val="24"/>
                <w:szCs w:val="24"/>
                <w:highlight w:val="none"/>
                <w:u w:val="none"/>
              </w:rPr>
            </w:pPr>
            <w:r>
              <w:rPr>
                <w:rFonts w:hint="default" w:ascii="Times New Roman" w:hAnsi="Times New Roman" w:eastAsia="仿宋_GB2312" w:cs="Times New Roman"/>
                <w:b/>
                <w:bCs w:val="0"/>
                <w:i w:val="0"/>
                <w:color w:val="auto"/>
                <w:kern w:val="0"/>
                <w:sz w:val="24"/>
                <w:szCs w:val="24"/>
                <w:highlight w:val="none"/>
                <w:u w:val="none"/>
                <w:lang w:val="en-US" w:eastAsia="zh-CN"/>
              </w:rPr>
              <w:t>合计</w:t>
            </w: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textAlignment w:val="center"/>
              <w:rPr>
                <w:rFonts w:hint="default" w:ascii="Times New Roman" w:hAnsi="Times New Roman" w:eastAsia="仿宋_GB2312" w:cs="Times New Roman"/>
                <w:b/>
                <w:bCs w:val="0"/>
                <w:i w:val="0"/>
                <w:color w:val="auto"/>
                <w:sz w:val="24"/>
                <w:szCs w:val="24"/>
                <w:highlight w:val="none"/>
                <w:u w:val="none"/>
              </w:rPr>
            </w:pPr>
            <w:r>
              <w:rPr>
                <w:rFonts w:hint="default" w:ascii="Times New Roman" w:hAnsi="Times New Roman" w:eastAsia="仿宋_GB2312" w:cs="Times New Roman"/>
                <w:b/>
                <w:bCs w:val="0"/>
                <w:i w:val="0"/>
                <w:color w:val="auto"/>
                <w:kern w:val="0"/>
                <w:sz w:val="24"/>
                <w:szCs w:val="24"/>
                <w:highlight w:val="none"/>
                <w:u w:val="none"/>
                <w:lang w:val="en-US" w:eastAsia="zh-CN"/>
              </w:rPr>
              <w:t>158</w:t>
            </w: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c>
          <w:tcPr>
            <w:tcW w:w="586"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c>
          <w:tcPr>
            <w:tcW w:w="587"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c>
          <w:tcPr>
            <w:tcW w:w="1854"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rPr>
                <w:rFonts w:hint="default" w:ascii="Times New Roman" w:hAnsi="Times New Roman" w:eastAsia="仿宋_GB2312" w:cs="Times New Roman"/>
                <w:i w:val="0"/>
                <w:color w:val="auto"/>
                <w:sz w:val="18"/>
                <w:szCs w:val="18"/>
                <w:highlight w:val="none"/>
                <w:u w:val="none"/>
              </w:rPr>
            </w:pPr>
          </w:p>
        </w:tc>
        <w:tc>
          <w:tcPr>
            <w:tcW w:w="4309"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left"/>
              <w:rPr>
                <w:rFonts w:hint="default" w:ascii="Times New Roman" w:hAnsi="Times New Roman" w:eastAsia="仿宋_GB2312" w:cs="Times New Roman"/>
                <w:i w:val="0"/>
                <w:color w:val="auto"/>
                <w:sz w:val="18"/>
                <w:szCs w:val="18"/>
                <w:highlight w:val="none"/>
                <w:u w:val="none"/>
              </w:rPr>
            </w:pP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wordWrap/>
              <w:adjustRightInd/>
              <w:snapToGrid/>
              <w:spacing w:before="0" w:beforeAutospacing="0" w:after="0" w:afterAutospacing="0" w:line="200" w:lineRule="exact"/>
              <w:ind w:left="0" w:right="0"/>
              <w:jc w:val="center"/>
              <w:rPr>
                <w:rFonts w:hint="default" w:ascii="Times New Roman" w:hAnsi="Times New Roman" w:eastAsia="仿宋_GB2312" w:cs="Times New Roman"/>
                <w:i w:val="0"/>
                <w:color w:val="auto"/>
                <w:sz w:val="18"/>
                <w:szCs w:val="18"/>
                <w:highlight w:val="none"/>
                <w:u w:val="none"/>
              </w:rPr>
            </w:pPr>
          </w:p>
        </w:tc>
      </w:tr>
    </w:tbl>
    <w:p>
      <w:pPr>
        <w:widowControl w:val="0"/>
        <w:wordWrap/>
        <w:adjustRightInd/>
        <w:snapToGrid/>
        <w:spacing w:line="590" w:lineRule="exact"/>
        <w:ind w:right="0"/>
        <w:jc w:val="both"/>
        <w:textAlignment w:val="auto"/>
        <w:outlineLvl w:val="9"/>
        <w:rPr>
          <w:rFonts w:hint="default" w:ascii="Times New Roman" w:hAnsi="Times New Roman" w:eastAsia="仿宋_GB2312" w:cs="Times New Roman"/>
          <w:color w:val="auto"/>
          <w:sz w:val="32"/>
          <w:szCs w:val="32"/>
          <w:highlight w:val="none"/>
          <w:lang w:val="en-US" w:eastAsia="zh-CN"/>
        </w:rPr>
      </w:pPr>
    </w:p>
    <w:p>
      <w:pPr>
        <w:widowControl w:val="0"/>
        <w:wordWrap/>
        <w:adjustRightInd/>
        <w:snapToGrid/>
        <w:spacing w:line="570" w:lineRule="exact"/>
        <w:ind w:left="0" w:leftChars="0" w:right="0" w:firstLine="0" w:firstLineChars="0"/>
        <w:jc w:val="center"/>
        <w:textAlignment w:val="auto"/>
        <w:outlineLvl w:val="9"/>
        <w:rPr>
          <w:rFonts w:hint="default" w:ascii="Times New Roman" w:hAnsi="Times New Roman" w:eastAsia="方正小标宋_GBK" w:cs="Times New Roman"/>
          <w:b w:val="0"/>
          <w:bCs/>
          <w:color w:val="auto"/>
          <w:sz w:val="44"/>
          <w:szCs w:val="44"/>
          <w:highlight w:val="none"/>
          <w:lang w:val="en-US" w:eastAsia="zh-CN"/>
        </w:rPr>
      </w:pPr>
    </w:p>
    <w:p>
      <w:pPr>
        <w:widowControl w:val="0"/>
        <w:wordWrap/>
        <w:adjustRightInd/>
        <w:snapToGrid/>
        <w:spacing w:line="570" w:lineRule="exact"/>
        <w:ind w:left="0" w:leftChars="0" w:right="0" w:firstLine="0" w:firstLineChars="0"/>
        <w:jc w:val="center"/>
        <w:textAlignment w:val="auto"/>
        <w:outlineLvl w:val="9"/>
        <w:rPr>
          <w:rFonts w:hint="default" w:ascii="Times New Roman" w:hAnsi="Times New Roman" w:eastAsia="方正小标宋_GBK" w:cs="Times New Roman"/>
          <w:b w:val="0"/>
          <w:bCs/>
          <w:color w:val="auto"/>
          <w:sz w:val="44"/>
          <w:szCs w:val="44"/>
          <w:highlight w:val="none"/>
          <w:lang w:val="en-US" w:eastAsia="zh-CN"/>
        </w:rPr>
      </w:pPr>
      <w:bookmarkStart w:id="0" w:name="_GoBack"/>
      <w:bookmarkEnd w:id="0"/>
    </w:p>
    <w:p>
      <w:pPr>
        <w:widowControl w:val="0"/>
        <w:wordWrap/>
        <w:adjustRightInd/>
        <w:snapToGrid/>
        <w:spacing w:line="570" w:lineRule="exact"/>
        <w:ind w:left="0" w:leftChars="0" w:right="0" w:firstLine="0" w:firstLineChars="0"/>
        <w:jc w:val="center"/>
        <w:textAlignment w:val="auto"/>
        <w:outlineLvl w:val="9"/>
        <w:rPr>
          <w:rFonts w:hint="default" w:ascii="Times New Roman" w:hAnsi="Times New Roman" w:eastAsia="方正小标宋_GBK" w:cs="Times New Roman"/>
          <w:b w:val="0"/>
          <w:bCs/>
          <w:color w:val="auto"/>
          <w:sz w:val="44"/>
          <w:szCs w:val="44"/>
          <w:highlight w:val="none"/>
          <w:lang w:val="en-US" w:eastAsia="zh-CN"/>
        </w:rPr>
      </w:pPr>
    </w:p>
    <w:p>
      <w:pPr>
        <w:widowControl w:val="0"/>
        <w:wordWrap/>
        <w:adjustRightInd/>
        <w:snapToGrid/>
        <w:spacing w:line="570" w:lineRule="exact"/>
        <w:ind w:left="0" w:leftChars="0" w:right="0" w:firstLine="0" w:firstLineChars="0"/>
        <w:jc w:val="center"/>
        <w:textAlignment w:val="auto"/>
        <w:outlineLvl w:val="9"/>
        <w:rPr>
          <w:rFonts w:hint="default" w:ascii="Times New Roman" w:hAnsi="Times New Roman" w:eastAsia="方正小标宋_GBK" w:cs="Times New Roman"/>
          <w:b w:val="0"/>
          <w:bCs/>
          <w:color w:val="auto"/>
          <w:sz w:val="44"/>
          <w:szCs w:val="44"/>
          <w:highlight w:val="none"/>
          <w:lang w:val="en-US" w:eastAsia="zh-CN"/>
        </w:rPr>
      </w:pPr>
    </w:p>
    <w:p>
      <w:pPr>
        <w:rPr>
          <w:rFonts w:hint="default" w:ascii="Times New Roman" w:hAnsi="Times New Roman" w:eastAsia="仿宋" w:cs="Times New Roman"/>
          <w:color w:val="auto"/>
          <w:sz w:val="32"/>
          <w:szCs w:val="32"/>
          <w:highlight w:val="none"/>
          <w:lang w:val="en-US" w:eastAsia="zh-CN"/>
        </w:rPr>
      </w:pPr>
    </w:p>
    <w:sectPr>
      <w:headerReference r:id="rId3" w:type="default"/>
      <w:footerReference r:id="rId4" w:type="default"/>
      <w:pgSz w:w="16838" w:h="11906" w:orient="landscape"/>
      <w:pgMar w:top="1803" w:right="1440" w:bottom="1701" w:left="1440" w:header="851" w:footer="992" w:gutter="0"/>
      <w:pgBorders>
        <w:top w:val="none" w:sz="0" w:space="0"/>
        <w:left w:val="none" w:sz="0" w:space="0"/>
        <w:bottom w:val="none" w:sz="0" w:space="0"/>
        <w:right w:val="none" w:sz="0" w:space="0"/>
      </w:pgBorders>
      <w:pgNumType w:fmt="numberInDash"/>
      <w:cols w:space="720" w:num="1"/>
      <w:rtlGutter w:val="0"/>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803070505020304"/>
    <w:charset w:val="86"/>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ascii="Calibri" w:hAnsi="Calibri" w:eastAsia="宋体" w:cs="Calibri"/>
        <w:kern w:val="2"/>
        <w:sz w:val="18"/>
        <w:szCs w:val="18"/>
        <w:lang w:val="en-US" w:eastAsia="zh-CN" w:bidi="ar-SA"/>
      </w:rPr>
      <w:pict>
        <v:shape id="Quad Arrow 1037" o:spid="_x0000_s4097" o:spt="202" type="#_x0000_t202" style="position:absolute;left:0pt;margin-top:0pt;height:144pt;width:144pt;mso-position-horizontal:center;mso-position-horizontal-relative:margin;mso-wrap-style:none;z-index:251660288;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pStyle w:val="2"/>
                  <w:rPr>
                    <w:sz w:val="32"/>
                    <w:szCs w:val="32"/>
                  </w:rPr>
                </w:pP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p>
            </w:txbxContent>
          </v:textbox>
        </v:shape>
      </w:pict>
    </w:r>
    <w:r>
      <w:rPr>
        <w:rFonts w:ascii="Calibri" w:hAnsi="Calibri" w:eastAsia="宋体" w:cs="Calibri"/>
        <w:kern w:val="2"/>
        <w:sz w:val="18"/>
        <w:szCs w:val="18"/>
        <w:lang w:val="en-US" w:eastAsia="zh-CN" w:bidi="ar-SA"/>
      </w:rPr>
      <w:pict>
        <v:shape id="Quad Arrow 1027" o:spid="_x0000_s4098" o:spt="202" type="#_x0000_t202" style="position:absolute;left:0pt;margin-top:0pt;height:11pt;width:36.35pt;mso-position-horizontal:center;mso-position-horizontal-relative:margin;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w:txbxContent>
              <w:p>
                <w:pPr>
                  <w:snapToGrid w:val="0"/>
                  <w:rPr>
                    <w:rFonts w:hint="default" w:ascii="Times New Roman" w:hAnsi="Times New Roman" w:eastAsia="宋体" w:cs="Times New Roman"/>
                    <w:sz w:val="36"/>
                    <w:szCs w:val="36"/>
                    <w:lang w:eastAsia="zh-CN"/>
                  </w:rPr>
                </w:pP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false"/>
  <w:bordersDoNotSurroundFooter w:val="false"/>
  <w:documentProtection w:enforcement="0"/>
  <w:defaultTabStop w:val="420"/>
  <w:drawingGridVerticalSpacing w:val="161"/>
  <w:displayHorizontalDrawingGridEvery w:val="1"/>
  <w:displayVerticalDrawingGridEvery w:val="1"/>
  <w:noPunctuationKerning w:val="true"/>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NWMzNmM1YWJlNjMwMjk5YTgyYjBlNzRiNmE5ZDM2MTkifQ=="/>
  </w:docVars>
  <w:rsids>
    <w:rsidRoot w:val="00172A27"/>
    <w:rsid w:val="000D3F04"/>
    <w:rsid w:val="0017227A"/>
    <w:rsid w:val="001A68BF"/>
    <w:rsid w:val="001A7028"/>
    <w:rsid w:val="0022641D"/>
    <w:rsid w:val="002C7E4C"/>
    <w:rsid w:val="002E101D"/>
    <w:rsid w:val="00450FD9"/>
    <w:rsid w:val="004A3104"/>
    <w:rsid w:val="004D1647"/>
    <w:rsid w:val="0050438A"/>
    <w:rsid w:val="005276A0"/>
    <w:rsid w:val="00544B7F"/>
    <w:rsid w:val="00570EEC"/>
    <w:rsid w:val="005A1E04"/>
    <w:rsid w:val="005C3D00"/>
    <w:rsid w:val="00600D0D"/>
    <w:rsid w:val="00613EBE"/>
    <w:rsid w:val="00644318"/>
    <w:rsid w:val="006A7035"/>
    <w:rsid w:val="007F1CA6"/>
    <w:rsid w:val="00845A30"/>
    <w:rsid w:val="00862383"/>
    <w:rsid w:val="008C36F2"/>
    <w:rsid w:val="008E400A"/>
    <w:rsid w:val="00985884"/>
    <w:rsid w:val="00997764"/>
    <w:rsid w:val="009B119A"/>
    <w:rsid w:val="009C7691"/>
    <w:rsid w:val="009D6428"/>
    <w:rsid w:val="00A2011F"/>
    <w:rsid w:val="00A24622"/>
    <w:rsid w:val="00A648B2"/>
    <w:rsid w:val="00A85D14"/>
    <w:rsid w:val="00B02EE0"/>
    <w:rsid w:val="00B138D7"/>
    <w:rsid w:val="00B80818"/>
    <w:rsid w:val="00C072BF"/>
    <w:rsid w:val="00CB6CFC"/>
    <w:rsid w:val="00CF0B70"/>
    <w:rsid w:val="00D33E78"/>
    <w:rsid w:val="00D37B6A"/>
    <w:rsid w:val="00D468D6"/>
    <w:rsid w:val="00D930C2"/>
    <w:rsid w:val="00DA08E6"/>
    <w:rsid w:val="00DC71FF"/>
    <w:rsid w:val="00F21964"/>
    <w:rsid w:val="00F40028"/>
    <w:rsid w:val="01D40F5D"/>
    <w:rsid w:val="01D84795"/>
    <w:rsid w:val="023C098D"/>
    <w:rsid w:val="0398176B"/>
    <w:rsid w:val="03F56B3E"/>
    <w:rsid w:val="050B61B7"/>
    <w:rsid w:val="05216871"/>
    <w:rsid w:val="053B6A67"/>
    <w:rsid w:val="054134AD"/>
    <w:rsid w:val="06963DDF"/>
    <w:rsid w:val="07347160"/>
    <w:rsid w:val="087F5E7D"/>
    <w:rsid w:val="089F1A65"/>
    <w:rsid w:val="091031EE"/>
    <w:rsid w:val="0A4D44A7"/>
    <w:rsid w:val="0A6B7A57"/>
    <w:rsid w:val="0C897FA2"/>
    <w:rsid w:val="0CF34325"/>
    <w:rsid w:val="0DB3678A"/>
    <w:rsid w:val="0DEB5B5B"/>
    <w:rsid w:val="0DEE099D"/>
    <w:rsid w:val="0EE000F6"/>
    <w:rsid w:val="0F7D59F6"/>
    <w:rsid w:val="108C5BB3"/>
    <w:rsid w:val="10E31410"/>
    <w:rsid w:val="11250330"/>
    <w:rsid w:val="11AE1DDD"/>
    <w:rsid w:val="11BA6625"/>
    <w:rsid w:val="11F22C52"/>
    <w:rsid w:val="135004D3"/>
    <w:rsid w:val="13AF1F58"/>
    <w:rsid w:val="140F60F0"/>
    <w:rsid w:val="14150A03"/>
    <w:rsid w:val="152B2749"/>
    <w:rsid w:val="16A863B3"/>
    <w:rsid w:val="17C80E13"/>
    <w:rsid w:val="18481C36"/>
    <w:rsid w:val="1A0F674F"/>
    <w:rsid w:val="1A9D50B9"/>
    <w:rsid w:val="1AE62F2F"/>
    <w:rsid w:val="1AEA7BDF"/>
    <w:rsid w:val="1C7041A7"/>
    <w:rsid w:val="1C820752"/>
    <w:rsid w:val="1F400656"/>
    <w:rsid w:val="1F7A5EB1"/>
    <w:rsid w:val="20061318"/>
    <w:rsid w:val="2025634A"/>
    <w:rsid w:val="23F6158E"/>
    <w:rsid w:val="258C30E5"/>
    <w:rsid w:val="27D7D03C"/>
    <w:rsid w:val="283205FE"/>
    <w:rsid w:val="292B2809"/>
    <w:rsid w:val="2956295F"/>
    <w:rsid w:val="2CAC09AD"/>
    <w:rsid w:val="2CF56C59"/>
    <w:rsid w:val="2E157DAA"/>
    <w:rsid w:val="2E2E50D0"/>
    <w:rsid w:val="2EB775B3"/>
    <w:rsid w:val="2EF9001C"/>
    <w:rsid w:val="2F6F6D61"/>
    <w:rsid w:val="30CF21A1"/>
    <w:rsid w:val="31F56456"/>
    <w:rsid w:val="321E1184"/>
    <w:rsid w:val="327B34E1"/>
    <w:rsid w:val="368D1D03"/>
    <w:rsid w:val="36AF008A"/>
    <w:rsid w:val="36B934D6"/>
    <w:rsid w:val="36D57583"/>
    <w:rsid w:val="36EC1BA6"/>
    <w:rsid w:val="36F4563B"/>
    <w:rsid w:val="3728158B"/>
    <w:rsid w:val="395D152B"/>
    <w:rsid w:val="39910700"/>
    <w:rsid w:val="3A381FC3"/>
    <w:rsid w:val="3A82130D"/>
    <w:rsid w:val="3AA70248"/>
    <w:rsid w:val="3AE57D2D"/>
    <w:rsid w:val="3B46364B"/>
    <w:rsid w:val="3B4D4259"/>
    <w:rsid w:val="3B643E7F"/>
    <w:rsid w:val="3B6E306E"/>
    <w:rsid w:val="3BCD47A7"/>
    <w:rsid w:val="3CD278D9"/>
    <w:rsid w:val="418E271A"/>
    <w:rsid w:val="41D73E13"/>
    <w:rsid w:val="42E020C7"/>
    <w:rsid w:val="42FC28F1"/>
    <w:rsid w:val="44494D4C"/>
    <w:rsid w:val="4488337C"/>
    <w:rsid w:val="46BC369C"/>
    <w:rsid w:val="46C30AA8"/>
    <w:rsid w:val="485D4FC6"/>
    <w:rsid w:val="486E0AE4"/>
    <w:rsid w:val="489203FF"/>
    <w:rsid w:val="49861EAC"/>
    <w:rsid w:val="49EB2ED5"/>
    <w:rsid w:val="4F3D590F"/>
    <w:rsid w:val="4F917597"/>
    <w:rsid w:val="4FD7228A"/>
    <w:rsid w:val="511915B0"/>
    <w:rsid w:val="51AA0E9F"/>
    <w:rsid w:val="52C7099A"/>
    <w:rsid w:val="52E5410B"/>
    <w:rsid w:val="534939B9"/>
    <w:rsid w:val="53975063"/>
    <w:rsid w:val="53A0719C"/>
    <w:rsid w:val="548173AF"/>
    <w:rsid w:val="54C620A2"/>
    <w:rsid w:val="55C67A47"/>
    <w:rsid w:val="56A62938"/>
    <w:rsid w:val="56C73D67"/>
    <w:rsid w:val="589907E9"/>
    <w:rsid w:val="598629F0"/>
    <w:rsid w:val="5A8849CD"/>
    <w:rsid w:val="5AF50649"/>
    <w:rsid w:val="614A3953"/>
    <w:rsid w:val="61857F0D"/>
    <w:rsid w:val="618A6593"/>
    <w:rsid w:val="618D7518"/>
    <w:rsid w:val="63105496"/>
    <w:rsid w:val="65B66881"/>
    <w:rsid w:val="664A14BF"/>
    <w:rsid w:val="666E039B"/>
    <w:rsid w:val="671A3D37"/>
    <w:rsid w:val="67220444"/>
    <w:rsid w:val="68050DB2"/>
    <w:rsid w:val="69613BF1"/>
    <w:rsid w:val="69EB5D53"/>
    <w:rsid w:val="6E2649DA"/>
    <w:rsid w:val="6ED616E4"/>
    <w:rsid w:val="6F1178C5"/>
    <w:rsid w:val="6F7A2DA9"/>
    <w:rsid w:val="6F930B9D"/>
    <w:rsid w:val="71FC6A0D"/>
    <w:rsid w:val="724A7E11"/>
    <w:rsid w:val="733FBFA1"/>
    <w:rsid w:val="73A225C1"/>
    <w:rsid w:val="73EB753D"/>
    <w:rsid w:val="75311DD3"/>
    <w:rsid w:val="75F65F1C"/>
    <w:rsid w:val="789517A4"/>
    <w:rsid w:val="7BFF24CA"/>
    <w:rsid w:val="7C896B62"/>
    <w:rsid w:val="7D0C2E83"/>
    <w:rsid w:val="7DE80C9C"/>
    <w:rsid w:val="7DEB75D0"/>
    <w:rsid w:val="7E016B00"/>
    <w:rsid w:val="7FFFF70B"/>
    <w:rsid w:val="FFB98905"/>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ocked="1"/>
    <w:lsdException w:uiPriority="0" w:name="index 2" w:locked="1"/>
    <w:lsdException w:uiPriority="0" w:name="index 3" w:locked="1"/>
    <w:lsdException w:uiPriority="0" w:name="index 4" w:locked="1"/>
    <w:lsdException w:uiPriority="0" w:name="index 5" w:locked="1"/>
    <w:lsdException w:uiPriority="0" w:name="index 6" w:locked="1"/>
    <w:lsdException w:uiPriority="0" w:name="index 7" w:locked="1"/>
    <w:lsdException w:uiPriority="0" w:name="index 8" w:locked="1"/>
    <w:lsdException w:uiPriority="0"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0" w:name="Normal Indent" w:locked="1"/>
    <w:lsdException w:uiPriority="0" w:name="footnote text" w:locked="1"/>
    <w:lsdException w:uiPriority="0" w:name="annotation text" w:locked="1"/>
    <w:lsdException w:qFormat="1" w:unhideWhenUsed="0" w:uiPriority="99" w:semiHidden="0" w:name="header"/>
    <w:lsdException w:qFormat="1" w:unhideWhenUsed="0" w:uiPriority="99" w:semiHidden="0" w:name="footer"/>
    <w:lsdException w:uiPriority="0" w:name="index heading" w:locked="1"/>
    <w:lsdException w:qFormat="1" w:uiPriority="0" w:name="caption"/>
    <w:lsdException w:uiPriority="0" w:name="table of figures" w:locked="1"/>
    <w:lsdException w:uiPriority="0" w:name="envelope address" w:locked="1"/>
    <w:lsdException w:uiPriority="0" w:name="envelope return" w:locked="1"/>
    <w:lsdException w:uiPriority="0" w:name="footnote reference" w:locked="1"/>
    <w:lsdException w:uiPriority="0" w:name="annotation reference" w:locked="1"/>
    <w:lsdException w:uiPriority="0" w:name="line number" w:locked="1"/>
    <w:lsdException w:qFormat="1" w:unhideWhenUsed="0" w:uiPriority="99" w:semiHidden="0" w:name="page number"/>
    <w:lsdException w:uiPriority="0" w:name="endnote reference" w:locked="1"/>
    <w:lsdException w:uiPriority="0" w:name="endnote text" w:locked="1"/>
    <w:lsdException w:uiPriority="0" w:name="table of authorities" w:locked="1"/>
    <w:lsdException w:uiPriority="0" w:name="macro" w:locked="1"/>
    <w:lsdException w:uiPriority="0" w:name="toa heading" w:locked="1"/>
    <w:lsdException w:uiPriority="0" w:name="List" w:locked="1"/>
    <w:lsdException w:uiPriority="0" w:name="List Bullet" w:locked="1"/>
    <w:lsdException w:uiPriority="0" w:name="List Number" w:locked="1"/>
    <w:lsdException w:uiPriority="0" w:name="List 2" w:locked="1"/>
    <w:lsdException w:uiPriority="0" w:name="List 3" w:locked="1"/>
    <w:lsdException w:uiPriority="0" w:name="List 4" w:locked="1"/>
    <w:lsdException w:uiPriority="0" w:name="List 5" w:locked="1"/>
    <w:lsdException w:uiPriority="0" w:name="List Bullet 2" w:locked="1"/>
    <w:lsdException w:uiPriority="0" w:name="List Bullet 3" w:locked="1"/>
    <w:lsdException w:uiPriority="0" w:name="List Bullet 4" w:locked="1"/>
    <w:lsdException w:uiPriority="0" w:name="List Bullet 5" w:locked="1"/>
    <w:lsdException w:uiPriority="0" w:name="List Number 2" w:locked="1"/>
    <w:lsdException w:uiPriority="0" w:name="List Number 3" w:locked="1"/>
    <w:lsdException w:uiPriority="0" w:name="List Number 4" w:locked="1"/>
    <w:lsdException w:uiPriority="0" w:name="List Number 5" w:locked="1"/>
    <w:lsdException w:qFormat="1" w:unhideWhenUsed="0" w:uiPriority="0" w:semiHidden="0" w:name="Title"/>
    <w:lsdException w:uiPriority="0" w:name="Closing" w:locked="1"/>
    <w:lsdException w:uiPriority="0" w:name="Signature" w:locked="1"/>
    <w:lsdException w:qFormat="1" w:uiPriority="1" w:semiHidden="0" w:name="Default Paragraph Font"/>
    <w:lsdException w:uiPriority="0" w:name="Body Text" w:locked="1"/>
    <w:lsdException w:uiPriority="0" w:name="Body Text Indent" w:locked="1"/>
    <w:lsdException w:uiPriority="0" w:name="List Continue" w:locked="1"/>
    <w:lsdException w:uiPriority="0" w:name="List Continue 2" w:locked="1"/>
    <w:lsdException w:uiPriority="0" w:name="List Continue 3" w:locked="1"/>
    <w:lsdException w:uiPriority="0" w:name="List Continue 4" w:locked="1"/>
    <w:lsdException w:uiPriority="0" w:name="List Continue 5" w:locked="1"/>
    <w:lsdException w:uiPriority="0" w:name="Message Header" w:locked="1"/>
    <w:lsdException w:qFormat="1" w:unhideWhenUsed="0" w:uiPriority="0" w:semiHidden="0" w:name="Subtitle"/>
    <w:lsdException w:uiPriority="0" w:name="Salutation" w:locked="1"/>
    <w:lsdException w:uiPriority="0" w:name="Date" w:locked="1"/>
    <w:lsdException w:uiPriority="0" w:name="Body Text First Indent" w:locked="1"/>
    <w:lsdException w:uiPriority="0" w:name="Body Text First Indent 2" w:locked="1"/>
    <w:lsdException w:uiPriority="0" w:name="Note Heading" w:locked="1"/>
    <w:lsdException w:uiPriority="0" w:name="Body Text 2" w:locked="1"/>
    <w:lsdException w:uiPriority="0" w:name="Body Text 3" w:locked="1"/>
    <w:lsdException w:uiPriority="0" w:name="Body Text Indent 2" w:locked="1"/>
    <w:lsdException w:uiPriority="0" w:name="Body Text Indent 3" w:locked="1"/>
    <w:lsdException w:uiPriority="0" w:name="Block Text" w:locked="1"/>
    <w:lsdException w:uiPriority="0" w:name="Hyperlink" w:locked="1"/>
    <w:lsdException w:uiPriority="0" w:name="FollowedHyperlink" w:locked="1"/>
    <w:lsdException w:qFormat="1" w:unhideWhenUsed="0" w:uiPriority="0" w:semiHidden="0" w:name="Strong"/>
    <w:lsdException w:qFormat="1" w:unhideWhenUsed="0" w:uiPriority="0" w:semiHidden="0" w:name="Emphasis"/>
    <w:lsdException w:uiPriority="0" w:name="Document Map" w:locked="1"/>
    <w:lsdException w:uiPriority="0" w:name="Plain Text" w:locked="1"/>
    <w:lsdException w:uiPriority="0" w:name="E-mail Signature" w:locked="1"/>
    <w:lsdException w:qFormat="1" w:unhideWhenUsed="0" w:uiPriority="99" w:semiHidden="0" w:name="Normal (Web)" w:locked="1"/>
    <w:lsdException w:uiPriority="0" w:name="HTML Acronym" w:locked="1"/>
    <w:lsdException w:uiPriority="0" w:name="HTML Address" w:locked="1"/>
    <w:lsdException w:uiPriority="0" w:name="HTML Cite" w:locked="1"/>
    <w:lsdException w:uiPriority="0" w:name="HTML Code" w:locked="1"/>
    <w:lsdException w:uiPriority="0" w:name="HTML Definition" w:locked="1"/>
    <w:lsdException w:uiPriority="0" w:name="HTML Keyboard" w:locked="1"/>
    <w:lsdException w:uiPriority="0" w:name="HTML Preformatted" w:locked="1"/>
    <w:lsdException w:uiPriority="0" w:name="HTML Sample" w:locked="1"/>
    <w:lsdException w:uiPriority="0" w:name="HTML Typewriter" w:locked="1"/>
    <w:lsdException w:uiPriority="0" w:name="HTML Variable" w:locked="1"/>
    <w:lsdException w:qFormat="1" w:uiPriority="99" w:semiHidden="0" w:name="Normal Table"/>
    <w:lsdException w:uiPriority="0" w:name="annotation subject" w:locked="1"/>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uiPriority="0" w:name="Balloon Text" w:locked="1"/>
    <w:lsdException w:qFormat="1" w:unhideWhenUsed="0" w:uiPriority="99" w:semiHidden="0" w:name="Table Grid"/>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pPr>
      <w:widowControl/>
      <w:spacing w:before="0" w:beforeAutospacing="0" w:after="0" w:afterAutospacing="0"/>
      <w:ind w:left="0" w:right="0"/>
    </w:pPr>
    <w:rPr>
      <w:rFonts w:hint="default" w:ascii="Times New Roman" w:hAnsi="Times New Roman" w:eastAsia="Times New Roman" w:cs="Times New Roman"/>
      <w:sz w:val="20"/>
      <w:szCs w:val="20"/>
    </w:rPr>
    <w:tblPr>
      <w:tblCellMar>
        <w:top w:w="0" w:type="dxa"/>
        <w:left w:w="108" w:type="dxa"/>
        <w:bottom w:w="0" w:type="dxa"/>
        <w:right w:w="108" w:type="dxa"/>
      </w:tblCellMar>
    </w:tblPr>
  </w:style>
  <w:style w:type="paragraph" w:styleId="2">
    <w:name w:val="footer"/>
    <w:basedOn w:val="1"/>
    <w:link w:val="14"/>
    <w:qFormat/>
    <w:uiPriority w:val="99"/>
    <w:pPr>
      <w:tabs>
        <w:tab w:val="center" w:pos="4153"/>
        <w:tab w:val="right" w:pos="8306"/>
      </w:tabs>
      <w:snapToGrid w:val="0"/>
      <w:jc w:val="left"/>
    </w:pPr>
    <w:rPr>
      <w:sz w:val="18"/>
      <w:szCs w:val="18"/>
    </w:rPr>
  </w:style>
  <w:style w:type="paragraph" w:styleId="3">
    <w:name w:val="header"/>
    <w:basedOn w:val="1"/>
    <w:link w:val="15"/>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locked/>
    <w:uiPriority w:val="99"/>
    <w:rPr>
      <w:sz w:val="24"/>
      <w:szCs w:val="24"/>
    </w:rPr>
  </w:style>
  <w:style w:type="table" w:styleId="6">
    <w:name w:val="Table Grid"/>
    <w:basedOn w:val="5"/>
    <w:qFormat/>
    <w:uiPriority w:val="99"/>
    <w:pPr>
      <w:widowControl w:val="0"/>
      <w:spacing w:before="0" w:beforeAutospacing="0" w:after="0" w:afterAutospacing="0"/>
      <w:ind w:left="0" w:right="0"/>
      <w:jc w:val="both"/>
    </w:pPr>
    <w:rPr>
      <w:rFonts w:hint="default"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99"/>
  </w:style>
  <w:style w:type="paragraph" w:customStyle="1" w:styleId="9">
    <w:name w:val="List Paragraph1"/>
    <w:basedOn w:val="1"/>
    <w:qFormat/>
    <w:uiPriority w:val="99"/>
    <w:pPr>
      <w:ind w:firstLine="420" w:firstLineChars="200"/>
    </w:pPr>
  </w:style>
  <w:style w:type="paragraph" w:customStyle="1" w:styleId="10">
    <w:name w:val="p-left"/>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
    <w:name w:val="Other|1"/>
    <w:basedOn w:val="1"/>
    <w:qFormat/>
    <w:uiPriority w:val="0"/>
    <w:pPr>
      <w:spacing w:line="240" w:lineRule="auto"/>
      <w:jc w:val="left"/>
    </w:pPr>
    <w:rPr>
      <w:rFonts w:ascii="宋体" w:hAnsi="宋体" w:eastAsia="宋体" w:cs="宋体"/>
      <w:spacing w:val="0"/>
      <w:sz w:val="20"/>
      <w:lang w:val="zh-TW" w:eastAsia="zh-TW" w:bidi="zh-TW"/>
    </w:rPr>
  </w:style>
  <w:style w:type="paragraph" w:customStyle="1" w:styleId="12">
    <w:name w:val="Other|2"/>
    <w:basedOn w:val="1"/>
    <w:qFormat/>
    <w:uiPriority w:val="0"/>
    <w:pPr>
      <w:widowControl w:val="0"/>
      <w:shd w:val="clear" w:color="auto" w:fill="auto"/>
    </w:pPr>
    <w:rPr>
      <w:rFonts w:ascii="宋体" w:hAnsi="宋体" w:eastAsia="宋体" w:cs="宋体"/>
      <w:u w:val="none"/>
      <w:shd w:val="clear" w:color="auto" w:fill="auto"/>
      <w:lang w:val="zh-TW" w:eastAsia="zh-TW" w:bidi="zh-TW"/>
    </w:rPr>
  </w:style>
  <w:style w:type="paragraph" w:customStyle="1" w:styleId="13">
    <w:name w:val="公文样式"/>
    <w:basedOn w:val="1"/>
    <w:qFormat/>
    <w:uiPriority w:val="0"/>
    <w:pPr>
      <w:spacing w:line="570" w:lineRule="exact"/>
      <w:ind w:leftChars="0" w:firstLine="640" w:firstLineChars="200"/>
    </w:pPr>
    <w:rPr>
      <w:rFonts w:hint="eastAsia" w:ascii="仿宋_GB2312" w:hAnsi="仿宋_GB2312" w:eastAsia="仿宋_GB2312" w:cs="仿宋_GB2312"/>
      <w:sz w:val="32"/>
      <w:szCs w:val="32"/>
    </w:rPr>
  </w:style>
  <w:style w:type="character" w:customStyle="1" w:styleId="14">
    <w:name w:val="页脚 Char"/>
    <w:link w:val="2"/>
    <w:semiHidden/>
    <w:qFormat/>
    <w:locked/>
    <w:uiPriority w:val="99"/>
    <w:rPr>
      <w:sz w:val="18"/>
      <w:szCs w:val="18"/>
    </w:rPr>
  </w:style>
  <w:style w:type="character" w:customStyle="1" w:styleId="15">
    <w:name w:val="页眉 Char"/>
    <w:link w:val="3"/>
    <w:semiHidden/>
    <w:qFormat/>
    <w:locked/>
    <w:uiPriority w:val="99"/>
    <w:rPr>
      <w:sz w:val="18"/>
      <w:szCs w:val="18"/>
    </w:rPr>
  </w:style>
  <w:style w:type="character" w:customStyle="1" w:styleId="16">
    <w:name w:val="font11"/>
    <w:basedOn w:val="7"/>
    <w:qFormat/>
    <w:uiPriority w:val="0"/>
    <w:rPr>
      <w:rFonts w:hint="eastAsia" w:ascii="仿宋_GB2312" w:eastAsia="仿宋_GB2312" w:cs="仿宋_GB2312"/>
      <w:color w:val="FF0000"/>
      <w:sz w:val="24"/>
      <w:szCs w:val="24"/>
      <w:u w:val="none"/>
    </w:rPr>
  </w:style>
  <w:style w:type="character" w:customStyle="1" w:styleId="17">
    <w:name w:val="font61"/>
    <w:basedOn w:val="7"/>
    <w:qFormat/>
    <w:uiPriority w:val="0"/>
    <w:rPr>
      <w:rFonts w:hint="eastAsia" w:ascii="仿宋_GB2312" w:eastAsia="仿宋_GB2312" w:cs="仿宋_GB2312"/>
      <w:color w:val="000000"/>
      <w:sz w:val="24"/>
      <w:szCs w:val="24"/>
      <w:u w:val="none"/>
    </w:rPr>
  </w:style>
  <w:style w:type="character" w:customStyle="1" w:styleId="18">
    <w:name w:val="font01"/>
    <w:basedOn w:val="7"/>
    <w:qFormat/>
    <w:uiPriority w:val="0"/>
    <w:rPr>
      <w:rFonts w:hint="default" w:ascii="Times New Roman" w:hAnsi="Times New Roman" w:cs="Times New Roman"/>
      <w:color w:val="000000"/>
      <w:sz w:val="21"/>
      <w:szCs w:val="21"/>
      <w:u w:val="none"/>
    </w:rPr>
  </w:style>
  <w:style w:type="character" w:customStyle="1" w:styleId="19">
    <w:name w:val="font31"/>
    <w:basedOn w:val="7"/>
    <w:qFormat/>
    <w:uiPriority w:val="0"/>
    <w:rPr>
      <w:rFonts w:hint="eastAsia"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20</Pages>
  <Words>9005</Words>
  <Characters>9323</Characters>
  <Lines>19</Lines>
  <Paragraphs>5</Paragraphs>
  <TotalTime>1</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2020-07-12T09:10:00Z</dcterms:created>
  <dc:creator>Administrator</dc:creator>
  <cp:lastModifiedBy>huawei</cp:lastModifiedBy>
  <cp:lastPrinted>2021-12-03T07:05:00Z</cp:lastPrinted>
  <dcterms:modified xsi:type="dcterms:W3CDTF">2023-04-06T13:59:37Z</dcterms:modified>
  <dc:title>关于组建2020年公务员招录笔试考点（浙江交通职业技术学院）疫情防控工作</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90B171A59E3E48E08630E2AB236A9146</vt:lpwstr>
  </property>
</Properties>
</file>