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0" w:type="auto"/>
            <w:shd w:val="clear"/>
            <w:vAlign w:val="center"/>
          </w:tcPr>
          <w:p>
            <w:pPr>
              <w:rPr>
                <w:rFonts w:hint="eastAsia" w:ascii="微软雅黑" w:hAnsi="微软雅黑" w:eastAsia="微软雅黑" w:cs="微软雅黑"/>
                <w:b w:val="0"/>
                <w:bCs w:val="0"/>
                <w:i w:val="0"/>
                <w:iCs w:val="0"/>
                <w:caps w:val="0"/>
                <w:color w:val="666666"/>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0" w:type="auto"/>
            <w:shd w:val="clear"/>
            <w:tcMar>
              <w:top w:w="100" w:type="dxa"/>
              <w:left w:w="100" w:type="dxa"/>
              <w:bottom w:w="100" w:type="dxa"/>
              <w:right w:w="100" w:type="dxa"/>
            </w:tcMar>
            <w:vAlign w:val="center"/>
          </w:tcPr>
          <w:tbl>
            <w:tblPr>
              <w:tblW w:w="954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43"/>
              <w:gridCol w:w="832"/>
              <w:gridCol w:w="708"/>
              <w:gridCol w:w="853"/>
              <w:gridCol w:w="3502"/>
              <w:gridCol w:w="1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trPr>
              <w:tc>
                <w:tcPr>
                  <w:tcW w:w="12720" w:type="dxa"/>
                  <w:gridSpan w:val="6"/>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color w:val="666666"/>
                      <w:kern w:val="0"/>
                      <w:sz w:val="28"/>
                      <w:szCs w:val="28"/>
                      <w:bdr w:val="none" w:color="auto" w:sz="0" w:space="0"/>
                      <w:lang w:val="en-US" w:eastAsia="zh-CN" w:bidi="ar"/>
                    </w:rPr>
                    <w:t>2023年余姚市第二批中小学（幼儿园）事业编制教师招聘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color w:val="666666"/>
                      <w:kern w:val="0"/>
                      <w:sz w:val="28"/>
                      <w:szCs w:val="28"/>
                      <w:bdr w:val="none" w:color="auto" w:sz="0" w:space="0"/>
                      <w:lang w:val="en-US" w:eastAsia="zh-CN" w:bidi="ar"/>
                    </w:rPr>
                    <w:t>岗位分布表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岗位</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类别</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招聘指标</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岗位代码</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岗位说明</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特殊要求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义务段语文（初中）</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定向1</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2</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DM01</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color w:val="666666"/>
                      <w:kern w:val="0"/>
                      <w:sz w:val="20"/>
                      <w:szCs w:val="20"/>
                      <w:bdr w:val="none" w:color="auto" w:sz="0" w:space="0"/>
                      <w:lang w:val="en-US" w:eastAsia="zh-CN" w:bidi="ar"/>
                    </w:rPr>
                    <w:t>1.余姚市舜水中学（1人）；2.余姚市阳明中学（1人）。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color w:val="666666"/>
                      <w:kern w:val="0"/>
                      <w:sz w:val="20"/>
                      <w:szCs w:val="20"/>
                      <w:bdr w:val="none" w:color="auto" w:sz="0" w:space="0"/>
                      <w:lang w:val="en-US" w:eastAsia="zh-CN" w:bidi="ar"/>
                    </w:rPr>
                    <w:t>若报名人数不足岗位指标1：3比例，招聘指标从最后一个岗位开始核减，依次调节到义务段语文（初中）定向2。</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研究生及以上学历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义务段语文（初中）</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定向2</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3</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DM02</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余姚市姚北实验学校（1人）、余姚市小曹娥镇初级中学（1人）、浙江师范大学附属泗门实验中学（1人）</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义务段语文（小学）</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定向1</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8</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DM03</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余姚市城南小学（1人）、余姚市肖东中心学校（1人）、余姚市丰北小学（1人）、余姚市低塘街道所属小学（1人）、余姚市陆埠镇所属小学（1人）、余姚市丈亭镇所属小学（1人）、余姚市三七市镇所属小学（1人）、余姚市河姆渡镇所属小学（1人）</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义务段语文（小学）</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定向2</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8</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DM04</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中意宁波生态园实验学校（1人）、余姚市朗霞街道所属小学（1人）、余姚市马渚镇所属小学（1人）、余姚市牟山镇所属小学（1人）、余姚市泗门镇所属小学（1人）、余姚市小曹娥镇所属小学（1人）、余姚市临山镇所属小学（1人）、余姚市黄家埠镇所属小学（1人）</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义务段语文（小学）</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定向3</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5</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DM05</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北京师范大学余姚实验学校（5人）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 </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义务段数学（初中）</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定向1</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2</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DM06</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1.余姚市梨洲中学（1人）；2.余姚市姚江中学（1人）。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若报名人数不足岗位指标1：3比例，最后岗位指标调节到义务段数学（初中）定向2。</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研究生及以上学历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义务段数学（初中）</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定向2</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3</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DM07</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余姚市子陵中学教育集团世南校区（1人）、余姚市瑞云学校（1人）、余姚市陆埠镇初级中学（1人）</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义务段数学（小学）</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定向1</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6</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DM08</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余姚市明伟小学（1人）、余姚市肖东中心学校（1人）、余姚市低塘街道所属小学（1人）、余姚市陆埠镇所属小学（1人）、余姚市丈亭镇所属小学（1人）、余姚市三七市镇所属小学（1人）</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义务段数学（小学）</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定向2</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6</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DM09</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中意宁波生态园实验学校（1人）、余姚市朗霞街道所属小学（1人）、余姚市马渚镇所属小学（1人）、余姚市泗门镇所属小学（1人）、余姚市临山镇所属小学（1人）、余姚市黄家埠镇所属小学（1人）</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义务段数学（小学）</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定向3</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2</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DM10</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北京师范大学余姚实验学校（2人）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 </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义务段英语（初中）</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定向1</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2</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DM11</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1.余姚市姚北实验学校（1人）；2.浙江师范大学附属泗门实验中学（1人）。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若报名人数不足岗位指标1：3比例，招聘指标从最后一个岗位开始核减，依次调节到义务段英语（初中）定向2。</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研究生及以上学历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义务段英语（初中）</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定向2</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3</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DM12</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余姚市陆埠镇初级中学（1人）、余姚市小曹娥镇初级中学（1人）、余姚市临山镇初级中学（1人）</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义务段科学（初中）</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定向1</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2</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DM13</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1.余姚市子陵中学教育集团世南校区（1人）、2.余姚市姚北实验学校（1人）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若报名人数不足岗位指标1：3比例，招聘指标从最后一个岗位开始核减，依次调节到义务段科学（初中）定向2。</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研究生及以上学历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义务段科学（初中）</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定向2</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3</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DM14</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浙江师范大学附属泗门实验中学（1人）、余姚市低塘初级中学（1人）、余姚市临山镇初级中学（1人）</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义务段科学（小学）</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定向1</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2</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DM15</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余姚市老方桥小学（1人）、余姚市朗霞街道所属小学（1人）</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义务段科学（小学）</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定向2</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1</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DM16</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北京师范大学余姚实验学校</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具有小学科学或物理、生物方向教师资格证。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义务段社会（初中）</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5</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DM17</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余姚市阳明中学（1人）、余姚市子陵中学教育集团世南校区（1人）、余姚市马渚镇初级中学（1人）、余姚市小曹娥镇初级中学（1人）、浙江师范大学附属泗门实验中学（1人）</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义务段体育（初中）</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定向1</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2</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DM18</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1.余姚市子陵中学教育集团子陵校区（1人）、2.浙江师范大学附属泗门实验中学（1人）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若报名人数不足岗位指标1：3比例，招聘指标从最后一个岗位开始核减，依次调节到义务段体育（初中）定向2。</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研究生及以上学历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义务段体育（初中）</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定向2</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3</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DM19</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余姚市低塘初级中学（1人）、余姚市陆埠镇初级中学（1人）、余姚市三七市镇初级中学（1人）</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义务段体育（初中）</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定向3</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3</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DM20</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北京师范大学余姚实验学校（3人）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 </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研究生及以上学历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义务段体育（小学）</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定向4</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2</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DM21</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余姚市泗门镇所属小学（1人）、余姚市黄家埠镇所属小学（1人）</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义务段美术（小学）</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1</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DM22</w:t>
                  </w:r>
                </w:p>
              </w:tc>
              <w:tc>
                <w:tcPr>
                  <w:tcW w:w="480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北京师范大学余姚实验学校（1人）</w:t>
                  </w:r>
                </w:p>
              </w:tc>
              <w:tc>
                <w:tcPr>
                  <w:tcW w:w="23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义务段音乐（小学）</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定向1</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2</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DM23</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余姚市朗霞街道所属小学（1人）、余姚市泗门镇所属小学（1人）</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义务段音乐（小学）</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定向2</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1</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DM24</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北京师范大学余姚实验学校（1人）</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font-size:10.5pt;" w:hAnsi="font-size:10.5pt;" w:eastAsia="font-size:10.5pt;" w:cs="font-size:10.5pt;"/>
                      <w:color w:val="666666"/>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义务段心理（小学）</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定向</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1</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DM25</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北京师范大学余姚实验学校（1人）</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666666"/>
                      <w:kern w:val="0"/>
                      <w:sz w:val="20"/>
                      <w:szCs w:val="20"/>
                      <w:bdr w:val="none" w:color="auto" w:sz="0" w:space="0"/>
                      <w:lang w:val="en-US" w:eastAsia="zh-CN" w:bidi="ar"/>
                    </w:rPr>
                    <w:t>须有心理教师资格证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学前教育</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统招</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2</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DM26</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4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合计</w:t>
                  </w:r>
                </w:p>
              </w:tc>
              <w:tc>
                <w:tcPr>
                  <w:tcW w:w="11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c>
                <w:tcPr>
                  <w:tcW w:w="9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80</w:t>
                  </w:r>
                </w:p>
              </w:tc>
              <w:tc>
                <w:tcPr>
                  <w:tcW w:w="10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c>
                <w:tcPr>
                  <w:tcW w:w="48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c>
                <w:tcPr>
                  <w:tcW w:w="238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666666"/>
                      <w:kern w:val="0"/>
                      <w:sz w:val="20"/>
                      <w:szCs w:val="20"/>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right"/>
            </w:pPr>
            <w:r>
              <w:rPr>
                <w:rFonts w:hint="default" w:ascii="微软雅黑" w:hAnsi="微软雅黑" w:eastAsia="微软雅黑" w:cs="微软雅黑"/>
                <w:b w:val="0"/>
                <w:bCs w:val="0"/>
                <w:i w:val="0"/>
                <w:iCs w:val="0"/>
                <w:caps w:val="0"/>
                <w:color w:val="555555"/>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0"/>
              <w:jc w:val="right"/>
            </w:pPr>
            <w:r>
              <w:rPr>
                <w:rFonts w:hint="default" w:ascii="微软雅黑" w:hAnsi="微软雅黑" w:eastAsia="微软雅黑" w:cs="微软雅黑"/>
                <w:b w:val="0"/>
                <w:bCs w:val="0"/>
                <w:i w:val="0"/>
                <w:iCs w:val="0"/>
                <w:caps w:val="0"/>
                <w:color w:val="555555"/>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both"/>
            </w:pPr>
            <w:r>
              <w:rPr>
                <w:rFonts w:hint="default" w:ascii="微软雅黑" w:hAnsi="微软雅黑" w:eastAsia="微软雅黑" w:cs="微软雅黑"/>
                <w:b w:val="0"/>
                <w:bCs w:val="0"/>
                <w:i w:val="0"/>
                <w:iCs w:val="0"/>
                <w:caps w:val="0"/>
                <w:color w:val="555555"/>
                <w:spacing w:val="0"/>
                <w:kern w:val="0"/>
                <w:sz w:val="24"/>
                <w:szCs w:val="24"/>
                <w:u w:val="none"/>
                <w:bdr w:val="none" w:color="auto" w:sz="0" w:space="0"/>
                <w:shd w:val="clear" w:fill="FFFFFF"/>
                <w:lang w:val="en-US" w:eastAsia="zh-CN" w:bidi="ar"/>
              </w:rPr>
              <w:t> </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06"/>
              <w:gridCol w:w="973"/>
              <w:gridCol w:w="1003"/>
              <w:gridCol w:w="826"/>
              <w:gridCol w:w="913"/>
              <w:gridCol w:w="1112"/>
              <w:gridCol w:w="1135"/>
              <w:gridCol w:w="838"/>
            </w:tblGrid>
            <w:tr>
              <w:trPr>
                <w:tblCellSpacing w:w="0" w:type="dxa"/>
              </w:trPr>
              <w:tc>
                <w:tcPr>
                  <w:tcW w:w="13260" w:type="dxa"/>
                  <w:gridSpan w:val="8"/>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28"/>
                      <w:szCs w:val="28"/>
                      <w:bdr w:val="none" w:color="auto" w:sz="0" w:space="0"/>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13260" w:type="dxa"/>
                  <w:gridSpan w:val="8"/>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color w:val="666666"/>
                      <w:kern w:val="0"/>
                      <w:sz w:val="28"/>
                      <w:szCs w:val="28"/>
                      <w:bdr w:val="none" w:color="auto" w:sz="0" w:space="0"/>
                      <w:lang w:val="en-US" w:eastAsia="zh-CN" w:bidi="ar"/>
                    </w:rPr>
                    <w:t>2023年余姚市第二批中小学（幼儿园）事业编制教师、派遣制教师招聘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color w:val="666666"/>
                      <w:kern w:val="0"/>
                      <w:sz w:val="28"/>
                      <w:szCs w:val="28"/>
                      <w:bdr w:val="none" w:color="auto" w:sz="0" w:space="0"/>
                      <w:lang w:val="en-US" w:eastAsia="zh-CN" w:bidi="ar"/>
                    </w:rPr>
                    <w:t>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姓名</w:t>
                  </w:r>
                </w:p>
              </w:tc>
              <w:tc>
                <w:tcPr>
                  <w:tcW w:w="16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5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性别</w:t>
                  </w:r>
                </w:p>
              </w:tc>
              <w:tc>
                <w:tcPr>
                  <w:tcW w:w="14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3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出生年月</w:t>
                  </w:r>
                </w:p>
              </w:tc>
              <w:tc>
                <w:tcPr>
                  <w:tcW w:w="190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3180" w:type="dxa"/>
                  <w:gridSpan w:val="2"/>
                  <w:vMerge w:val="restart"/>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民族</w:t>
                  </w:r>
                </w:p>
              </w:tc>
              <w:tc>
                <w:tcPr>
                  <w:tcW w:w="16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5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籍贯</w:t>
                  </w:r>
                </w:p>
              </w:tc>
              <w:tc>
                <w:tcPr>
                  <w:tcW w:w="14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38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政治面貌</w:t>
                  </w:r>
                </w:p>
              </w:tc>
              <w:tc>
                <w:tcPr>
                  <w:tcW w:w="190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3180" w:type="dxa"/>
                  <w:gridSpan w:val="2"/>
                  <w:vMerge w:val="continue"/>
                  <w:tcBorders>
                    <w:top w:val="nil"/>
                    <w:left w:val="nil"/>
                    <w:bottom w:val="nil"/>
                    <w:right w:val="nil"/>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r>
            <w:tr>
              <w:trPr>
                <w:tblCellSpacing w:w="0" w:type="dxa"/>
              </w:trPr>
              <w:tc>
                <w:tcPr>
                  <w:tcW w:w="2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身份证号码</w:t>
                  </w:r>
                </w:p>
              </w:tc>
              <w:tc>
                <w:tcPr>
                  <w:tcW w:w="4660" w:type="dxa"/>
                  <w:gridSpan w:val="3"/>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3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联系手机</w:t>
                  </w:r>
                </w:p>
              </w:tc>
              <w:tc>
                <w:tcPr>
                  <w:tcW w:w="190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3180" w:type="dxa"/>
                  <w:gridSpan w:val="2"/>
                  <w:vMerge w:val="continue"/>
                  <w:tcBorders>
                    <w:top w:val="nil"/>
                    <w:left w:val="nil"/>
                    <w:bottom w:val="nil"/>
                    <w:right w:val="nil"/>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r>
            <w:tr>
              <w:trPr>
                <w:tblCellSpacing w:w="0" w:type="dxa"/>
              </w:trPr>
              <w:tc>
                <w:tcPr>
                  <w:tcW w:w="2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家庭通讯地址</w:t>
                  </w:r>
                </w:p>
              </w:tc>
              <w:tc>
                <w:tcPr>
                  <w:tcW w:w="4660" w:type="dxa"/>
                  <w:gridSpan w:val="3"/>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3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家庭电话</w:t>
                  </w:r>
                </w:p>
              </w:tc>
              <w:tc>
                <w:tcPr>
                  <w:tcW w:w="190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3180" w:type="dxa"/>
                  <w:gridSpan w:val="2"/>
                  <w:vMerge w:val="continue"/>
                  <w:tcBorders>
                    <w:top w:val="nil"/>
                    <w:left w:val="nil"/>
                    <w:bottom w:val="nil"/>
                    <w:right w:val="nil"/>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r>
            <w:tr>
              <w:trPr>
                <w:tblCellSpacing w:w="0" w:type="dxa"/>
              </w:trPr>
              <w:tc>
                <w:tcPr>
                  <w:tcW w:w="2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2023年3月1日前户籍所在地</w:t>
                  </w:r>
                </w:p>
              </w:tc>
              <w:tc>
                <w:tcPr>
                  <w:tcW w:w="4660" w:type="dxa"/>
                  <w:gridSpan w:val="3"/>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3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生源地</w:t>
                  </w:r>
                </w:p>
              </w:tc>
              <w:tc>
                <w:tcPr>
                  <w:tcW w:w="190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3180" w:type="dxa"/>
                  <w:gridSpan w:val="2"/>
                  <w:vMerge w:val="continue"/>
                  <w:tcBorders>
                    <w:top w:val="nil"/>
                    <w:left w:val="nil"/>
                    <w:bottom w:val="nil"/>
                    <w:right w:val="nil"/>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r>
            <w:tr>
              <w:trPr>
                <w:tblCellSpacing w:w="0" w:type="dxa"/>
              </w:trPr>
              <w:tc>
                <w:tcPr>
                  <w:tcW w:w="208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全日制最后毕业学校</w:t>
                  </w:r>
                </w:p>
              </w:tc>
              <w:tc>
                <w:tcPr>
                  <w:tcW w:w="4660" w:type="dxa"/>
                  <w:gridSpan w:val="3"/>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3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专业</w:t>
                  </w:r>
                </w:p>
              </w:tc>
              <w:tc>
                <w:tcPr>
                  <w:tcW w:w="190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80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学历和学位</w:t>
                  </w:r>
                </w:p>
              </w:tc>
              <w:tc>
                <w:tcPr>
                  <w:tcW w:w="13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r>
            <w:tr>
              <w:trPr>
                <w:tblCellSpacing w:w="0" w:type="dxa"/>
              </w:trPr>
              <w:tc>
                <w:tcPr>
                  <w:tcW w:w="208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全日制最后毕业学校及专业类别</w:t>
                  </w:r>
                </w:p>
              </w:tc>
              <w:tc>
                <w:tcPr>
                  <w:tcW w:w="11160" w:type="dxa"/>
                  <w:gridSpan w:val="7"/>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是否“世界一流大学建设”高校(   )、是否“世界一流学科建设”专业(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080"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非全日制最后毕业学校</w:t>
                  </w:r>
                </w:p>
              </w:tc>
              <w:tc>
                <w:tcPr>
                  <w:tcW w:w="4660" w:type="dxa"/>
                  <w:gridSpan w:val="3"/>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3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专业</w:t>
                  </w:r>
                </w:p>
              </w:tc>
              <w:tc>
                <w:tcPr>
                  <w:tcW w:w="190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80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学历和学位</w:t>
                  </w:r>
                </w:p>
              </w:tc>
              <w:tc>
                <w:tcPr>
                  <w:tcW w:w="13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r>
            <w:tr>
              <w:trPr>
                <w:tblCellSpacing w:w="0" w:type="dxa"/>
              </w:trPr>
              <w:tc>
                <w:tcPr>
                  <w:tcW w:w="2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教师资格证书类别</w:t>
                  </w:r>
                </w:p>
              </w:tc>
              <w:tc>
                <w:tcPr>
                  <w:tcW w:w="16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5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任教学科</w:t>
                  </w:r>
                </w:p>
              </w:tc>
              <w:tc>
                <w:tcPr>
                  <w:tcW w:w="14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3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认定机构</w:t>
                  </w:r>
                </w:p>
              </w:tc>
              <w:tc>
                <w:tcPr>
                  <w:tcW w:w="190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80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认定时间</w:t>
                  </w:r>
                </w:p>
              </w:tc>
              <w:tc>
                <w:tcPr>
                  <w:tcW w:w="13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r>
            <w:tr>
              <w:trPr>
                <w:tblCellSpacing w:w="0" w:type="dxa"/>
              </w:trPr>
              <w:tc>
                <w:tcPr>
                  <w:tcW w:w="2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普通话等级</w:t>
                  </w:r>
                </w:p>
              </w:tc>
              <w:tc>
                <w:tcPr>
                  <w:tcW w:w="16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5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计算机等级</w:t>
                  </w:r>
                </w:p>
              </w:tc>
              <w:tc>
                <w:tcPr>
                  <w:tcW w:w="14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3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英语等级</w:t>
                  </w:r>
                </w:p>
              </w:tc>
              <w:tc>
                <w:tcPr>
                  <w:tcW w:w="190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80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w:t>
                  </w:r>
                </w:p>
              </w:tc>
              <w:tc>
                <w:tcPr>
                  <w:tcW w:w="13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其他资格证书情况说明</w:t>
                  </w:r>
                </w:p>
              </w:tc>
              <w:tc>
                <w:tcPr>
                  <w:tcW w:w="11160" w:type="dxa"/>
                  <w:gridSpan w:val="7"/>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r>
            <w:tr>
              <w:trPr>
                <w:tblCellSpacing w:w="0" w:type="dxa"/>
              </w:trPr>
              <w:tc>
                <w:tcPr>
                  <w:tcW w:w="208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类别(请在相应栏目打勾)</w:t>
                  </w:r>
                </w:p>
              </w:tc>
              <w:tc>
                <w:tcPr>
                  <w:tcW w:w="6060"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20"/>
                      <w:szCs w:val="20"/>
                      <w:bdr w:val="none" w:color="auto" w:sz="0" w:space="0"/>
                      <w:lang w:val="en-US" w:eastAsia="zh-CN" w:bidi="ar"/>
                    </w:rPr>
                    <w:t>应届(  )、历届(  )；师范类(  )、非师范类(  )；事业编制人员(  )、企业人员(  )、实习指导教师(  )、培训机构人员（  ）、其它(  )。</w:t>
                  </w:r>
                </w:p>
              </w:tc>
              <w:tc>
                <w:tcPr>
                  <w:tcW w:w="3700" w:type="dxa"/>
                  <w:gridSpan w:val="2"/>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666666"/>
                      <w:kern w:val="0"/>
                      <w:sz w:val="20"/>
                      <w:szCs w:val="20"/>
                      <w:bdr w:val="none" w:color="auto" w:sz="0" w:space="0"/>
                      <w:lang w:val="en-US" w:eastAsia="zh-CN" w:bidi="ar"/>
                    </w:rPr>
                    <w:t>在民办中小学校（幼儿园）合同期内所在单位是否同意</w:t>
                  </w:r>
                </w:p>
              </w:tc>
              <w:tc>
                <w:tcPr>
                  <w:tcW w:w="13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trPr>
              <w:tc>
                <w:tcPr>
                  <w:tcW w:w="2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报考岗位</w:t>
                  </w:r>
                </w:p>
              </w:tc>
              <w:tc>
                <w:tcPr>
                  <w:tcW w:w="4660" w:type="dxa"/>
                  <w:gridSpan w:val="3"/>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c>
                <w:tcPr>
                  <w:tcW w:w="13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报考岗位代码</w:t>
                  </w:r>
                </w:p>
              </w:tc>
              <w:tc>
                <w:tcPr>
                  <w:tcW w:w="5100" w:type="dxa"/>
                  <w:gridSpan w:val="3"/>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default" w:ascii="微软雅黑" w:hAnsi="微软雅黑" w:eastAsia="微软雅黑" w:cs="微软雅黑"/>
                      <w:color w:val="666666"/>
                      <w:sz w:val="24"/>
                      <w:szCs w:val="24"/>
                    </w:rPr>
                  </w:pPr>
                </w:p>
              </w:tc>
            </w:tr>
            <w:tr>
              <w:trPr>
                <w:tblCellSpacing w:w="0" w:type="dxa"/>
              </w:trPr>
              <w:tc>
                <w:tcPr>
                  <w:tcW w:w="2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本人简历</w:t>
                  </w:r>
                </w:p>
              </w:tc>
              <w:tc>
                <w:tcPr>
                  <w:tcW w:w="11160" w:type="dxa"/>
                  <w:gridSpan w:val="7"/>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20"/>
                      <w:szCs w:val="20"/>
                      <w:bdr w:val="none" w:color="auto" w:sz="0" w:space="0"/>
                      <w:lang w:val="en-US" w:eastAsia="zh-CN" w:bidi="ar"/>
                    </w:rPr>
                    <w:t>（从高中阶段开始，年份连续填写，不能中断。）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2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0"/>
                      <w:szCs w:val="20"/>
                      <w:bdr w:val="none" w:color="auto" w:sz="0" w:space="0"/>
                      <w:lang w:val="en-US" w:eastAsia="zh-CN" w:bidi="ar"/>
                    </w:rPr>
                    <w:t>诚信承诺</w:t>
                  </w:r>
                </w:p>
              </w:tc>
              <w:tc>
                <w:tcPr>
                  <w:tcW w:w="11160" w:type="dxa"/>
                  <w:gridSpan w:val="7"/>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20"/>
                      <w:szCs w:val="20"/>
                      <w:bdr w:val="none" w:color="auto" w:sz="0" w:space="0"/>
                      <w:lang w:val="en-US" w:eastAsia="zh-CN" w:bidi="ar"/>
                    </w:rPr>
                    <w:t>本表填写情况及提供报名资料完全真实，如有作假，一经查实，自动放弃被录用资格。 </w:t>
                  </w:r>
                  <w:r>
                    <w:rPr>
                      <w:rFonts w:hint="eastAsia" w:ascii="宋体" w:hAnsi="宋体" w:eastAsia="宋体" w:cs="宋体"/>
                      <w:color w:val="666666"/>
                      <w:kern w:val="0"/>
                      <w:sz w:val="20"/>
                      <w:szCs w:val="20"/>
                      <w:bdr w:val="none" w:color="auto" w:sz="0" w:space="0"/>
                      <w:lang w:val="en-US" w:eastAsia="zh-CN" w:bidi="ar"/>
                    </w:rPr>
                    <w:br w:type="textWrapping"/>
                  </w:r>
                  <w:r>
                    <w:rPr>
                      <w:rFonts w:hint="eastAsia" w:ascii="宋体" w:hAnsi="宋体" w:eastAsia="宋体" w:cs="宋体"/>
                      <w:color w:val="666666"/>
                      <w:kern w:val="0"/>
                      <w:sz w:val="20"/>
                      <w:szCs w:val="20"/>
                      <w:bdr w:val="none" w:color="auto" w:sz="0" w:space="0"/>
                      <w:lang w:val="en-US" w:eastAsia="zh-CN" w:bidi="ar"/>
                    </w:rPr>
                    <w:br w:type="textWrapping"/>
                  </w:r>
                  <w:r>
                    <w:rPr>
                      <w:rFonts w:hint="eastAsia" w:ascii="宋体" w:hAnsi="宋体" w:eastAsia="宋体" w:cs="宋体"/>
                      <w:color w:val="666666"/>
                      <w:kern w:val="0"/>
                      <w:sz w:val="20"/>
                      <w:szCs w:val="20"/>
                      <w:bdr w:val="none" w:color="auto" w:sz="0" w:space="0"/>
                      <w:lang w:val="en-US" w:eastAsia="zh-CN" w:bidi="ar"/>
                    </w:rPr>
                    <w:t>                          承诺人手写签名：                     2023年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r>
              <w:rPr>
                <w:rFonts w:hint="default" w:ascii="微软雅黑" w:hAnsi="微软雅黑" w:eastAsia="微软雅黑" w:cs="微软雅黑"/>
                <w:b/>
                <w:bCs/>
                <w:i w:val="0"/>
                <w:iCs w:val="0"/>
                <w:caps w:val="0"/>
                <w:color w:val="555555"/>
                <w:spacing w:val="0"/>
                <w:sz w:val="28"/>
                <w:szCs w:val="28"/>
                <w:u w:val="none"/>
                <w:bdr w:val="none" w:color="auto" w:sz="0" w:space="0"/>
                <w:shd w:val="clear" w:fill="FFFFFF"/>
              </w:rPr>
              <w:t>事业单位公开招聘违纪违规行为处理规定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bCs/>
                <w:i w:val="0"/>
                <w:iCs w:val="0"/>
                <w:caps w:val="0"/>
                <w:color w:val="555555"/>
                <w:spacing w:val="0"/>
                <w:sz w:val="28"/>
                <w:szCs w:val="28"/>
                <w:u w:val="none"/>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第一条 为加强事业单位公开招聘工作管理，规范公开招聘违纪违规行为的认定与处理，保证招聘工作公开、公平、公正，根据《</w:t>
            </w:r>
            <w:r>
              <w:rPr>
                <w:rFonts w:hint="default" w:ascii="微软雅黑" w:hAnsi="微软雅黑" w:eastAsia="微软雅黑" w:cs="微软雅黑"/>
                <w:b w:val="0"/>
                <w:bCs w:val="0"/>
                <w:i w:val="0"/>
                <w:iCs w:val="0"/>
                <w:caps w:val="0"/>
                <w:color w:val="333333"/>
                <w:spacing w:val="0"/>
                <w:sz w:val="28"/>
                <w:szCs w:val="28"/>
                <w:u w:val="none"/>
                <w:bdr w:val="none" w:color="auto" w:sz="0" w:space="0"/>
                <w:shd w:val="clear" w:fill="FFFFFF"/>
              </w:rPr>
              <w:fldChar w:fldCharType="begin"/>
            </w:r>
            <w:r>
              <w:rPr>
                <w:rFonts w:hint="default" w:ascii="微软雅黑" w:hAnsi="微软雅黑" w:eastAsia="微软雅黑" w:cs="微软雅黑"/>
                <w:b w:val="0"/>
                <w:bCs w:val="0"/>
                <w:i w:val="0"/>
                <w:iCs w:val="0"/>
                <w:caps w:val="0"/>
                <w:color w:val="333333"/>
                <w:spacing w:val="0"/>
                <w:sz w:val="28"/>
                <w:szCs w:val="28"/>
                <w:u w:val="none"/>
                <w:bdr w:val="none" w:color="auto" w:sz="0" w:space="0"/>
                <w:shd w:val="clear" w:fill="FFFFFF"/>
              </w:rPr>
              <w:instrText xml:space="preserve"> HYPERLINK "https://baike.so.com/doc/2167469-2293469.html" </w:instrText>
            </w:r>
            <w:r>
              <w:rPr>
                <w:rFonts w:hint="default" w:ascii="微软雅黑" w:hAnsi="微软雅黑" w:eastAsia="微软雅黑" w:cs="微软雅黑"/>
                <w:b w:val="0"/>
                <w:bCs w:val="0"/>
                <w:i w:val="0"/>
                <w:iCs w:val="0"/>
                <w:caps w:val="0"/>
                <w:color w:val="333333"/>
                <w:spacing w:val="0"/>
                <w:sz w:val="28"/>
                <w:szCs w:val="28"/>
                <w:u w:val="none"/>
                <w:bdr w:val="none" w:color="auto" w:sz="0" w:space="0"/>
                <w:shd w:val="clear" w:fill="FFFFFF"/>
              </w:rPr>
              <w:fldChar w:fldCharType="separate"/>
            </w:r>
            <w:r>
              <w:rPr>
                <w:rStyle w:val="5"/>
                <w:rFonts w:hint="default" w:ascii="微软雅黑" w:hAnsi="微软雅黑" w:eastAsia="微软雅黑" w:cs="微软雅黑"/>
                <w:b w:val="0"/>
                <w:bCs w:val="0"/>
                <w:i w:val="0"/>
                <w:iCs w:val="0"/>
                <w:caps w:val="0"/>
                <w:color w:val="333333"/>
                <w:spacing w:val="0"/>
                <w:sz w:val="28"/>
                <w:szCs w:val="28"/>
                <w:u w:val="none"/>
                <w:bdr w:val="none" w:color="auto" w:sz="0" w:space="0"/>
                <w:shd w:val="clear" w:fill="FFFFFF"/>
              </w:rPr>
              <w:t>事业单位人事管理条例</w:t>
            </w:r>
            <w:r>
              <w:rPr>
                <w:rFonts w:hint="default" w:ascii="微软雅黑" w:hAnsi="微软雅黑" w:eastAsia="微软雅黑" w:cs="微软雅黑"/>
                <w:b w:val="0"/>
                <w:bCs w:val="0"/>
                <w:i w:val="0"/>
                <w:iCs w:val="0"/>
                <w:caps w:val="0"/>
                <w:color w:val="333333"/>
                <w:spacing w:val="0"/>
                <w:sz w:val="28"/>
                <w:szCs w:val="28"/>
                <w:u w:val="none"/>
                <w:bdr w:val="none" w:color="auto" w:sz="0" w:space="0"/>
                <w:shd w:val="clear" w:fill="FFFFFF"/>
              </w:rPr>
              <w:fldChar w:fldCharType="end"/>
            </w: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》等有关规定，制定本规定。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第二条 事业单位公开招聘中违纪违规行为的认定与处理，适用本规定。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第三条 认定与处理公开招聘违纪违规行为，应当事实清楚、证据确凿、程序规范、适用规定准确。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第四条 中央事业单位人事综合管理部门负责全国事业单位公开招聘工作的综合管理与监督。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各级事业单位人事综合管理部门、事业单位主管部门、招聘单位按照事业单位公开招聘管理权限，依据本规定对公开招聘违纪违规行为进行认定与处理。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bCs/>
                <w:i w:val="0"/>
                <w:iCs w:val="0"/>
                <w:caps w:val="0"/>
                <w:color w:val="555555"/>
                <w:spacing w:val="0"/>
                <w:sz w:val="28"/>
                <w:szCs w:val="28"/>
                <w:u w:val="none"/>
                <w:bdr w:val="none" w:color="auto" w:sz="0" w:space="0"/>
                <w:shd w:val="clear" w:fill="FFFFFF"/>
              </w:rPr>
              <w:t>第二章 应聘人员违纪违规行为处理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第五条 应聘人员在报名过程中有下列违纪违规行为之一的，取消其本次应聘资格: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(一)伪造、涂改证件、证明等报名材料，或者以其他不正当手段获取应聘资格的;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(二)提供的涉及报考资格的申请材料或者信息不实，且影响报名审核结果的;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(三)其他应当取消其本次应聘资格的违纪违规行为。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第六条 应聘人员在考试过程中有下列违纪违规行为之一的，给予其当次该科目考试成绩无效的处理: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(一)携带规定以外的物品进入考场且未按要求放在指定位置，经提醒仍不改正的;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(二)未在规定座位参加考试，或者未经考试工作人员允许擅自离开座位或者考场，经提醒仍不改正的;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(三)经提醒仍不按规定填写、填涂本人信息的;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(四)在试卷、答题纸、答题卡规定以外位置标注本人信息或者其他特殊标记的;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(五)在考试开始信号发出前答题，或者在考试结束信号发出后继续答题，经提醒仍不停止的;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(六)将试卷、答题卡、答题纸带出考场，或者故意损坏试卷、答题卡、答题纸及考试相关设施设备的;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(七)其他应当给予当次该科目考试成绩无效处理的违纪违规行为。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第七条 应聘人员在考试过程中有下列严重违纪违规行为之一的，给予其当次全部科目考试成绩无效的处理，并将其违纪违规行为记入事业单位公开招聘应聘人员诚信档案库，记录期限为五年: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(一)抄袭、协助他人抄袭的;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(二)互相传递试卷、答题纸、答题卡、草稿纸等的;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(三)持伪造证件参加考试的;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(四)使用禁止带入考场的通讯工具、规定以外的电子用品的;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(五)本人离开考场后，在本场考试结束前，传播考试试题及答案的;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(六)其他应当给予当次全部科目考试成绩无效处理并记入事业单位公开招聘应聘人员诚信档案库的严重违纪违规行为。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第八条 应聘人员有下列特别严重违纪违规行为之一的，给予其当次全部科目考试成绩无效的处理，并将其违纪违规行为记入事业单位公开招聘应聘人员诚信档案库，长期记录: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(一)串通作弊或者参与有组织作弊的;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(二)代替他人或者让他人代替自己参加考试的;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(三)其他应当给予当次全部科目考试成绩无效处理并记入事业单位公开招聘应聘人员诚信档案库的特别严重的违纪违规行为。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(一)故意扰乱考点、考场以及其他招聘工作场所秩序的;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(二)拒绝、妨碍工作人员履行管理职责的;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(三)威胁、侮辱、诽谤、诬陷工作人员或者其他应聘人员的;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(四)其他扰乱招聘工作秩序的违纪违规行为。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应聘人员之间同一科目作答内容雷同，并有其他相关证据证明其违纪违规行为成立的，视具体情形按照本规定第七条、第八条处理。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bCs/>
                <w:i w:val="0"/>
                <w:iCs w:val="0"/>
                <w:caps w:val="0"/>
                <w:color w:val="555555"/>
                <w:spacing w:val="0"/>
                <w:sz w:val="28"/>
                <w:szCs w:val="28"/>
                <w:u w:val="none"/>
                <w:bdr w:val="none" w:color="auto" w:sz="0" w:space="0"/>
                <w:shd w:val="clear" w:fill="FFFFFF"/>
              </w:rPr>
              <w:t>第三章 招聘单位和招聘工作人员违纪违规行为处理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(一)未按规定权限和程序核准(备案)招聘方案，擅自组织公开招聘的;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(二)设置与岗位无关的指向性或者限制性条件的;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(三)未按规定发布招聘公告的;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(四)招聘公告发布后，擅自变更招聘程序、岗位条件、招聘人数、考试考察方式等的;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(五)未按招聘条件进行资格审查的;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(六)未按规定组织体检的;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(七)未按规定公示拟聘用人员名单的;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(八)其他应当责令改正的违纪违规行为。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第十六条 招聘工作人员有下列行为之一的，由相关部门给予处分，并停止其继续参加当年及下一年度招聘工作: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(一)擅自提前考试开始时间、推迟考试结束时间及缩短考试时间的;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(二)擅自为应聘人员调换考场或者座位的;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(三)未准确记录考场情况及违纪违规行为，并造成一定影响的;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(四)未执行回避制度的;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(五)其他一般违纪违规行为。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第十七条 招聘工作人员有下列行为之一的，由相关部门给予处分，并将其调离招聘工作岗位，不得再从事招聘工作;构成犯罪的，依法追究刑事责任: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(一)指使、纵容他人作弊，或者在考试、考察、体检过程中参与作弊的;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(二)在保密期限内，泄露考试试题、面试评分要素等应当保密的信息的;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(三)擅自更改考试评分标准或者不按评分标准进行评卷的;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(四)监管不严，导致考场出现大面积作弊现象的;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(五)玩忽职守，造成不良影响的;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(六)其他严重违纪违规行为。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bCs/>
                <w:i w:val="0"/>
                <w:iCs w:val="0"/>
                <w:caps w:val="0"/>
                <w:color w:val="555555"/>
                <w:spacing w:val="0"/>
                <w:sz w:val="28"/>
                <w:szCs w:val="28"/>
                <w:u w:val="none"/>
                <w:bdr w:val="none" w:color="auto" w:sz="0" w:space="0"/>
                <w:shd w:val="clear" w:fill="FFFFFF"/>
              </w:rPr>
              <w:t>第四章 处理程序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对应聘人员违纪违规行为作出处理决定的，应当制作公开招聘违纪违规行为处理决定书，依法送达被处理的应聘人员。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第二十条 应聘人员对处理决定不服的，可以依法申请行政复议或者提起</w:t>
            </w:r>
            <w:r>
              <w:rPr>
                <w:rFonts w:hint="default" w:ascii="微软雅黑" w:hAnsi="微软雅黑" w:eastAsia="微软雅黑" w:cs="微软雅黑"/>
                <w:b w:val="0"/>
                <w:bCs w:val="0"/>
                <w:i w:val="0"/>
                <w:iCs w:val="0"/>
                <w:caps w:val="0"/>
                <w:color w:val="333333"/>
                <w:spacing w:val="0"/>
                <w:sz w:val="28"/>
                <w:szCs w:val="28"/>
                <w:u w:val="none"/>
                <w:bdr w:val="none" w:color="auto" w:sz="0" w:space="0"/>
                <w:shd w:val="clear" w:fill="FFFFFF"/>
              </w:rPr>
              <w:fldChar w:fldCharType="begin"/>
            </w:r>
            <w:r>
              <w:rPr>
                <w:rFonts w:hint="default" w:ascii="微软雅黑" w:hAnsi="微软雅黑" w:eastAsia="微软雅黑" w:cs="微软雅黑"/>
                <w:b w:val="0"/>
                <w:bCs w:val="0"/>
                <w:i w:val="0"/>
                <w:iCs w:val="0"/>
                <w:caps w:val="0"/>
                <w:color w:val="333333"/>
                <w:spacing w:val="0"/>
                <w:sz w:val="28"/>
                <w:szCs w:val="28"/>
                <w:u w:val="none"/>
                <w:bdr w:val="none" w:color="auto" w:sz="0" w:space="0"/>
                <w:shd w:val="clear" w:fill="FFFFFF"/>
              </w:rPr>
              <w:instrText xml:space="preserve"> HYPERLINK "https://baike.so.com/doc/5415915-5654060.html" </w:instrText>
            </w:r>
            <w:r>
              <w:rPr>
                <w:rFonts w:hint="default" w:ascii="微软雅黑" w:hAnsi="微软雅黑" w:eastAsia="微软雅黑" w:cs="微软雅黑"/>
                <w:b w:val="0"/>
                <w:bCs w:val="0"/>
                <w:i w:val="0"/>
                <w:iCs w:val="0"/>
                <w:caps w:val="0"/>
                <w:color w:val="333333"/>
                <w:spacing w:val="0"/>
                <w:sz w:val="28"/>
                <w:szCs w:val="28"/>
                <w:u w:val="none"/>
                <w:bdr w:val="none" w:color="auto" w:sz="0" w:space="0"/>
                <w:shd w:val="clear" w:fill="FFFFFF"/>
              </w:rPr>
              <w:fldChar w:fldCharType="separate"/>
            </w:r>
            <w:r>
              <w:rPr>
                <w:rStyle w:val="5"/>
                <w:rFonts w:hint="default" w:ascii="微软雅黑" w:hAnsi="微软雅黑" w:eastAsia="微软雅黑" w:cs="微软雅黑"/>
                <w:b w:val="0"/>
                <w:bCs w:val="0"/>
                <w:i w:val="0"/>
                <w:iCs w:val="0"/>
                <w:caps w:val="0"/>
                <w:color w:val="333333"/>
                <w:spacing w:val="0"/>
                <w:sz w:val="28"/>
                <w:szCs w:val="28"/>
                <w:u w:val="none"/>
                <w:bdr w:val="none" w:color="auto" w:sz="0" w:space="0"/>
                <w:shd w:val="clear" w:fill="FFFFFF"/>
              </w:rPr>
              <w:t>行政诉讼</w:t>
            </w:r>
            <w:r>
              <w:rPr>
                <w:rFonts w:hint="default" w:ascii="微软雅黑" w:hAnsi="微软雅黑" w:eastAsia="微软雅黑" w:cs="微软雅黑"/>
                <w:b w:val="0"/>
                <w:bCs w:val="0"/>
                <w:i w:val="0"/>
                <w:iCs w:val="0"/>
                <w:caps w:val="0"/>
                <w:color w:val="333333"/>
                <w:spacing w:val="0"/>
                <w:sz w:val="28"/>
                <w:szCs w:val="28"/>
                <w:u w:val="none"/>
                <w:bdr w:val="none" w:color="auto" w:sz="0" w:space="0"/>
                <w:shd w:val="clear" w:fill="FFFFFF"/>
              </w:rPr>
              <w:fldChar w:fldCharType="end"/>
            </w: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第二十一条 参与公开招聘的工作人员对因违纪违规行为受到处分不服的，可以依法申请复核或者提出申诉。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bCs/>
                <w:i w:val="0"/>
                <w:iCs w:val="0"/>
                <w:caps w:val="0"/>
                <w:color w:val="555555"/>
                <w:spacing w:val="0"/>
                <w:sz w:val="28"/>
                <w:szCs w:val="28"/>
                <w:u w:val="none"/>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第二十二条 本规定自2018年1月1日起施行。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pPr>
            <w:r>
              <w:rPr>
                <w:rFonts w:hint="default" w:ascii="微软雅黑" w:hAnsi="微软雅黑" w:eastAsia="微软雅黑" w:cs="微软雅黑"/>
                <w:b w:val="0"/>
                <w:bCs w:val="0"/>
                <w:i w:val="0"/>
                <w:iCs w:val="0"/>
                <w:caps w:val="0"/>
                <w:color w:val="555555"/>
                <w:spacing w:val="0"/>
                <w:sz w:val="28"/>
                <w:szCs w:val="28"/>
                <w:u w:val="none"/>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both"/>
            </w:pPr>
            <w:r>
              <w:rPr>
                <w:rFonts w:hint="default" w:ascii="微软雅黑" w:hAnsi="微软雅黑" w:eastAsia="微软雅黑" w:cs="微软雅黑"/>
                <w:b w:val="0"/>
                <w:bCs w:val="0"/>
                <w:i w:val="0"/>
                <w:iCs w:val="0"/>
                <w:caps w:val="0"/>
                <w:color w:val="555555"/>
                <w:spacing w:val="0"/>
                <w:kern w:val="0"/>
                <w:sz w:val="24"/>
                <w:szCs w:val="24"/>
                <w:u w:val="none"/>
                <w:bdr w:val="none" w:color="auto" w:sz="0" w:space="0"/>
                <w:shd w:val="clear" w:fill="FFFFFF"/>
                <w:lang w:val="en-US" w:eastAsia="zh-CN" w:bidi="ar"/>
              </w:rPr>
              <w:t>附件4：余姚市教师招聘报名系统二维码</w:t>
            </w:r>
          </w:p>
          <w:tbl>
            <w:tblPr>
              <w:tblW w:w="8380" w:type="dxa"/>
              <w:tblCellSpacing w:w="0" w:type="dxa"/>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3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blCellSpacing w:w="0" w:type="dxa"/>
              </w:trPr>
              <w:tc>
                <w:tcPr>
                  <w:tcW w:w="111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666666"/>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666666"/>
                      <w:kern w:val="0"/>
                      <w:sz w:val="21"/>
                      <w:szCs w:val="21"/>
                      <w:bdr w:val="none" w:color="auto" w:sz="0" w:space="0"/>
                      <w:lang w:val="en-US" w:eastAsia="zh-CN" w:bidi="ar"/>
                    </w:rPr>
                    <w:drawing>
                      <wp:inline distT="0" distB="0" distL="114300" distR="114300">
                        <wp:extent cx="4314825" cy="4410075"/>
                        <wp:effectExtent l="0" t="0" r="317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314825" cy="4410075"/>
                                </a:xfrm>
                                <a:prstGeom prst="rect">
                                  <a:avLst/>
                                </a:prstGeom>
                                <a:noFill/>
                                <a:ln w="9525">
                                  <a:noFill/>
                                </a:ln>
                              </pic:spPr>
                            </pic:pic>
                          </a:graphicData>
                        </a:graphic>
                      </wp:inline>
                    </w:drawing>
                  </w:r>
                  <w:r>
                    <w:rPr>
                      <w:rFonts w:hint="eastAsia" w:ascii="宋体" w:hAnsi="宋体" w:eastAsia="宋体" w:cs="宋体"/>
                      <w:color w:val="666666"/>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微软雅黑" w:hAnsi="微软雅黑" w:eastAsia="微软雅黑" w:cs="微软雅黑"/>
                <w:b w:val="0"/>
                <w:bCs w:val="0"/>
                <w:i w:val="0"/>
                <w:iCs w:val="0"/>
                <w:caps w:val="0"/>
                <w:color w:val="555555"/>
                <w:spacing w:val="0"/>
                <w:kern w:val="0"/>
                <w:sz w:val="24"/>
                <w:szCs w:val="24"/>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0" w:type="auto"/>
            <w:shd w:val="clear"/>
            <w:vAlign w:val="center"/>
          </w:tcPr>
          <w:p>
            <w:pPr>
              <w:rPr>
                <w:rFonts w:hint="default" w:ascii="微软雅黑" w:hAnsi="微软雅黑" w:eastAsia="微软雅黑" w:cs="微软雅黑"/>
                <w:b w:val="0"/>
                <w:bCs w:val="0"/>
                <w:i w:val="0"/>
                <w:iCs w:val="0"/>
                <w:caps w:val="0"/>
                <w:color w:val="666666"/>
                <w:spacing w:val="0"/>
                <w:sz w:val="24"/>
                <w:szCs w:val="24"/>
                <w:u w:val="none"/>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font-size:10.5pt;">
    <w:altName w:val="苹方-简"/>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苹方-简">
    <w:panose1 w:val="020B04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A47CE"/>
    <w:rsid w:val="75CA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2023-03-26T23:37:00Z</dcterms:created>
  <dc:creator>静静°</dc:creator>
  <cp:lastModifiedBy>静静°</cp:lastModifiedBy>
  <dcterms:modified xsi:type="dcterms:W3CDTF">2023-03-26T23:38:32Z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C753DB9B0B885CEAC36620647C5B7945_41</vt:lpwstr>
  </property>
</Properties>
</file>