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rPr>
          <w:rFonts w:hint="eastAsia"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>
      <w:pPr>
        <w:pStyle w:val="3"/>
        <w:spacing w:before="0" w:after="0" w:line="560" w:lineRule="exact"/>
        <w:ind w:firstLine="723"/>
        <w:jc w:val="center"/>
        <w:rPr>
          <w:rFonts w:hint="eastAsia" w:eastAsia="方正小标宋简体"/>
          <w:b w:val="0"/>
          <w:sz w:val="36"/>
          <w:szCs w:val="36"/>
        </w:rPr>
      </w:pPr>
    </w:p>
    <w:p>
      <w:pPr>
        <w:pStyle w:val="3"/>
        <w:spacing w:before="0" w:after="0" w:line="560" w:lineRule="exact"/>
        <w:ind w:firstLine="640"/>
        <w:jc w:val="center"/>
        <w:rPr>
          <w:rFonts w:hint="eastAsia" w:eastAsia="方正小标宋简体"/>
          <w:b w:val="0"/>
          <w:spacing w:val="-6"/>
        </w:rPr>
      </w:pPr>
      <w:r>
        <w:rPr>
          <w:rFonts w:eastAsia="方正小标宋简体"/>
          <w:b w:val="0"/>
          <w:spacing w:val="-6"/>
        </w:rPr>
        <w:t>最高人民法院 最高人民检察院关于办理</w:t>
      </w:r>
    </w:p>
    <w:p>
      <w:pPr>
        <w:pStyle w:val="3"/>
        <w:spacing w:before="0" w:after="0" w:line="560" w:lineRule="exact"/>
        <w:ind w:firstLine="640"/>
        <w:jc w:val="center"/>
        <w:rPr>
          <w:rFonts w:hint="eastAsia" w:eastAsia="方正小标宋简体"/>
          <w:b w:val="0"/>
          <w:spacing w:val="-6"/>
        </w:rPr>
      </w:pPr>
      <w:r>
        <w:rPr>
          <w:rFonts w:eastAsia="方正小标宋简体"/>
          <w:b w:val="0"/>
          <w:spacing w:val="-6"/>
        </w:rPr>
        <w:t>组织考试作弊等刑事案件适用法律</w:t>
      </w:r>
    </w:p>
    <w:p>
      <w:pPr>
        <w:pStyle w:val="3"/>
        <w:spacing w:before="0" w:after="0" w:line="560" w:lineRule="exact"/>
        <w:jc w:val="center"/>
        <w:rPr>
          <w:rFonts w:eastAsia="方正小标宋简体"/>
          <w:b w:val="0"/>
          <w:spacing w:val="-6"/>
        </w:rPr>
      </w:pPr>
      <w:r>
        <w:rPr>
          <w:rFonts w:eastAsia="方正小标宋简体"/>
          <w:b w:val="0"/>
          <w:spacing w:val="-6"/>
        </w:rPr>
        <w:t>若干问题的解释</w:t>
      </w:r>
    </w:p>
    <w:p>
      <w:pPr>
        <w:pStyle w:val="2"/>
        <w:jc w:val="center"/>
        <w:rPr>
          <w:rFonts w:ascii="Times New Roman" w:hAnsi="Times New Roman" w:eastAsia="方正小标宋简体" w:cs="Times New Roman"/>
          <w:sz w:val="36"/>
          <w:szCs w:val="36"/>
        </w:rPr>
      </w:pP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为依法惩治组织考试作弊、非法出售、提供试题、答案、代替考试等犯罪，维护考试公平与秩序，根据《中华人民共和国刑法》《中华人民共和国刑事诉讼法》的规定，现就办理此类刑事案件适用法律的若干问题解释如下: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第一条　刑法第二百八十四条之一规定的“法律规定的国家考试”，仅限于全国人民代表大会及其常务委员会制定的法律所规定的考试。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根据有关法律规定，下列考试属于“法律规定的国家考试”: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（一）普通高等学校招生考试、研究生招生考试、高等教育自学考试、成人高等学校招生考试等国家教育考试;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（二）中央和地方公务员录用考试;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国家统一法律职业资格考试、国家教师资格考试、注册会计师全国统一考试、会计专业技术资格考试、资产评估师资格考试、医师资格考试、执业药师职业资格考试、注册建筑师考试、建造师执业资格考试等专业技术资格考试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（四）其他依照法律由中央或者地方主管部门以及行业组织的国家考试。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前款规定的考试涉及的特殊类型招生、特殊技能测试、面试等考试，属于“法律规定的国家考试”。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第二条　在法律规定的国家考试中，组织作弊，具有下列情形之一的，应当认定为刑法第二百八十四条之一第一款规定的“情节严重”: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（一）在普通高等学校招生考试、研究生招生考试、公务员录用考试中组织考试作弊的;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（二）导致考试推迟、取消或者启用备用试题的;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（三）考试工作人员组织考试作弊的;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（四）组织考生跨省、自治区、直辖市作弊的;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（五）多次组织考试作弊的;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（六）组织三十人次以上作弊的;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（七）提供作弊器材五十件以上的;　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（八）违法所得三十万元以上的;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（九）其他情节严重的情形。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第三条　具有避开或者突破考场防范作弊的安全管理措施，获取、记录、传递、接收、存储考试试题、答案等功能的程序、工具，以及专门设计用于作弊的程序、工具，应当认定为刑法第二百八十四条之一第二款规定的“作弊器材”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于是否属于刑法第二百八十四条之一第二款规定的“作弊器材”难以确定的，依据省级以上公安机关或者考试主管部门出具的报告，结合其他证据作出认定;涉及专用间谍器材、窃听、窃照专用器材、“伪基站”等器材的，依照相关规定作出认定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第四条　组织考试作弊，在考试开始之前被查获，但已经非法获取考试试题、答案或者具有其他严重扰乱考试秩序情形的，应当认定为组织考试作弊罪既遂。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第五条　为实施考试作弊行为，非法出售或者提供法律规定的国家考试的试题、答案，具有下列情形之一的，应当认定为刑法第二百八十四条之一第三款规定的“情节严重”: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（一）非法出售或者提供普通高等学校招生考试、研究生招生考试、公务员录用考试的试题、答案的;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（二）导致考试推迟、取消或者启用备用试题的;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（三）考试工作人员非法出售或者提供试题、答案的;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（四）多次非法出售或者提供试题、答案的;　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（五）向三十人次以上非法出售或者提供试题、答案的;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（六）违法所得三十万元以上的;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（七）其他情节严重的情形。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第六条　为实施考试作弊行为，向他人非法出售或者提供法律规定的国家考试的试题、答案，试题不完整或者答案与标准答案不完全一致的，不影响非法出售、提供试题、答案罪的认定。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第七条　代替他人或者让他人代替自己参加法律规定的国家考试的，应当依照刑法第二百八十四条之一第四款的规定，以代替考试罪定罪处罚。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对于行为人犯罪情节较轻，确有悔罪表现，综合考虑行为人替考情况以及考试类型等因素，认为符合缓刑适用条件的，可以宣告缓刑;犯罪情节轻微的，可以不起诉或者免予刑事处罚;情节显著轻微危害不大的，不以犯罪论处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第八条　单位实施组织考试作弊、非法出售、提供试题、答案等行为的，依照本解释规定的相应定罪量刑标准，追究组织者、策划者、实施者的刑事责任。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第九条　以窃取、刺探、收买方法非法获取法律规定的国家考试的试题、答案，又组织考试作弊或者非法出售、提供试题、答案，分别符合刑法第二百八十二条和刑法第二百八十四条之一规定的，以非法获取国家秘密罪和组织考试作弊罪或者非法出售、提供试题、答案罪数罪并罚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第十条　在法律规定的国家考试以外的其他考试中，组织作弊，为他人组织作弊提供作弊器材或者其他帮助，或者非法出售、提供试题、答案，符合非法获取国家秘密罪、非法生产、销售窃听、窃照专用器材罪、非法使用窃听、窃照专用器材罪、非法利用信息网络罪、扰乱无线电通讯管理秩序罪等犯罪构成要件的，依法追究刑事责任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第十一条　设立用于实施考试作弊的网站、通讯群组或者发布有关考试作弊的信息，情节严重的，应当依照刑法第二百八十七条之一的规定，以非法利用信息网络罪定罪处罚;同时构成组织考试作弊罪、非法出售、提供试题、答案罪、非法获取国家秘密罪等其他犯罪的，依照处罚较重的规定定罪处罚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第十二条　对于实施本解释规定的犯罪被判处刑罚的，可以根据犯罪情况和预防再犯罪的需要，依法宣告职业禁止;被判处管制、宣告缓刑的，可以根据犯罪情况，依法宣告禁止令。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第十三条　对于实施本解释规定的行为构成犯罪的，应当综合考虑犯罪的危害程度、违法所得数额以及被告人的前科情况、认罪悔罪态度等，依法判处罚金。</w:t>
      </w:r>
    </w:p>
    <w:p>
      <w:pPr>
        <w:pStyle w:val="4"/>
        <w:snapToGrid w:val="0"/>
        <w:spacing w:line="560" w:lineRule="exact"/>
        <w:ind w:firstLine="640" w:firstLineChars="200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第十四条　本解释自2019年9月4日起施行。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FC6FC8"/>
    <w:rsid w:val="09EF12FA"/>
    <w:rsid w:val="0FFC6FC8"/>
    <w:rsid w:val="5CCA624C"/>
    <w:rsid w:val="7B7F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toa heading1"/>
    <w:basedOn w:val="1"/>
    <w:next w:val="1"/>
    <w:qFormat/>
    <w:uiPriority w:val="0"/>
    <w:pPr>
      <w:spacing w:before="120"/>
    </w:pPr>
    <w:rPr>
      <w:rFonts w:ascii="Cambria" w:hAnsi="Cambria" w:cs="黑体"/>
      <w:sz w:val="24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2021-12-03T00:36:00Z</dcterms:created>
  <dc:creator>21克</dc:creator>
  <cp:lastModifiedBy>21克</cp:lastModifiedBy>
  <dcterms:modified xsi:type="dcterms:W3CDTF">2022-12-02T07:37:54Z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B7FC4BE38DC34BA29FD708F90F0619B8</vt:lpwstr>
  </property>
</Properties>
</file>