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5475" w:type="dxa"/>
        <w:tblInd w:w="-15"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358"/>
        <w:gridCol w:w="671"/>
        <w:gridCol w:w="754"/>
        <w:gridCol w:w="793"/>
        <w:gridCol w:w="879"/>
        <w:gridCol w:w="868"/>
        <w:gridCol w:w="649"/>
        <w:gridCol w:w="379"/>
        <w:gridCol w:w="718"/>
        <w:gridCol w:w="1543"/>
        <w:gridCol w:w="964"/>
        <w:gridCol w:w="1372"/>
        <w:gridCol w:w="2250"/>
        <w:gridCol w:w="696"/>
        <w:gridCol w:w="258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序号</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部门名称</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岗位名称</w:t>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岗位代码</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岗位分类</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人才分类</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岗位类别</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批准人数</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年龄上限（周岁）</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学历学位</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专业技术资格或职业资格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其他条件</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招聘对象</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"http://www.ebzhaopin.cn/department/detailInfo.action?uuid=bb987874-eea1-49b4-aac6-a8539e5ef0ef"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博士后</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科研岗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博士后招聘</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基础医学、生物学、临床医学、药学、动物医学、生物医学工程、化学及相关专业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符合博士后进站条件。</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"http://www.ebzhaopin.cn/department/detailInfo.action?uuid=eba50856-6cc2-496d-b2f3-b131f699f2b6"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学科带头人</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高水平人才引进</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国内三甲医院副主任医师、主任医师，学术研究水平原则上需达到医学院副教授的要求。</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"http://www.ebzhaopin.cn/department/detailInfo.action?uuid=ead54a3e-8c49-4fc1-af7c-b5596e61b2fd"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特聘研究员、特聘副研究员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科研岗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高水平人才引进</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基础医学、生物学、临床医学、药学、动物医学、生物医学工程、化学及相关专业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符合医学院特聘研究员、特聘副研究员的要求。</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血液肿瘤实验室</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"http://www.ebzhaopin.cn/department/detailInfo.action?uuid=9b28f9c3-3415-45c1-9bc8-8c7bd1deea79"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科研人员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科研岗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具有临床执业医师资格者优先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非应届毕业生应具有较强的科研能力和较丰富研究工作经历，年龄一般不超过40周岁，对经学校评审或认定为高级专业技术职务的，可适当放宽年龄条件。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泌尿外科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"http://www.ebzhaopin.cn/department/detailInfo.action?uuid=5ae8cd83-35ca-42f8-a5e3-f4cb0aec8191"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科研人员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科研岗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非应届毕业生应具有较强的科研能力和较丰富研究工作经历，年龄一般不超过40周岁，对经学校评审或认定为高级专业技术职务的，可适当放宽年龄条件。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呼吸内科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"http://www.ebzhaopin.cn/department/detailInfo.action?uuid=b531126b-29cc-4c52-b18d-ab79a0faa7e8"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消化内科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"http://www.ebzhaopin.cn/department/detailInfo.action?uuid=a5ed0f01-d908-44d7-bc0f-7958eb7715a6"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神经内科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"http://www.ebzhaopin.cn/department/detailInfo.action?uuid=c4a37bc9-aabf-4c87-9f8b-f5b51c51cd12"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感染科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"http://www.ebzhaopin.cn/department/detailInfo.action?uuid=c109194e-977c-49df-9571-36d4f50bcb73"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C10-23-09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儿科学、内科学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心脏外科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"http://www.ebzhaopin.cn/department/detailInfo.action?uuid=20726c94-5d4d-4ebc-a894-6adfe3c8f113"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心脏外科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胸外科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"http://www.ebzhaopin.cn/department/detailInfo.action?uuid=febc8d97-346a-4590-8cbc-faba9ec29d64"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具有科学博士学位及海外留学经历者优先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"http://www.ebzhaopin.cn/department/detailInfo.action?uuid=c6ed0fc1-9480-44fe-9b41-f2bb4dc6e137"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儿科学、外科学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具有科学博士学位者优先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烧伤整形科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"http://www.ebzhaopin.cn/department/detailInfo.action?uuid=b97543d4-c82d-4a91-a0df-36e4d6b98d41"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儿科学、外科学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具有科学博士学位者优先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泌尿外科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"http://www.ebzhaopin.cn/department/detailInfo.action?uuid=5078976b-ac49-4595-bcb0-ab3183c1e07f"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新生儿外科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"http://www.ebzhaopin.cn/department/detailInfo.action?uuid=1a49d29a-c0a1-4fa2-88d3-929b008a37c4"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儿童保健科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"http://www.ebzhaopin.cn/department/detailInfo.action?uuid=1a49e1f7-8df4-42a3-97ee-e47b74d97ea6"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须取得住院医师规范化培训合格证书</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"http://www.ebzhaopin.cn/department/detailInfo.action?uuid=9516d475-e25c-4f53-961c-41bb1d73c6e8"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临床执业医师资格、副主任医师资格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有较丰富的临床工作经验，近三年无医疗事故，对经学校评审或认定为副主任医师及以上专业技术职务的，可适当放宽年龄条件。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"http://www.ebzhaopin.cn/department/detailInfo.action?uuid=e1309f54-e4df-47ff-b0ce-3649076d26c1"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掌握神经电生理学者优先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中医科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"http://www.ebzhaopin.cn/department/detailInfo.action?uuid=d982cd05-d57c-4c17-8a8b-884fbf4cd81c"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C10-23-19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中医学、中西医结合</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口腔科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"http://www.ebzhaopin.cn/department/detailInfo.action?uuid=8bb12fe5-4a24-406f-ac08-83fd3aae8b10"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口腔医学（口腔颌面外科方向）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临床执业医师资格、副主任医师资格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超声科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"http://www.ebzhaopin.cn/department/detailInfo.action?uuid=955425e8-7a3f-4545-bacb-145d6f929c92"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放射科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"http://www.ebzhaopin.cn/department/detailInfo.action?uuid=e85b622d-a8db-46db-897f-22debc2c50ef"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放射治疗</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"http://www.ebzhaopin.cn/department/detailInfo.action?uuid=54a671c7-53a5-4b66-a156-0bb917c9dca8"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药物分析人员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药物分析学及相关专业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"http://www.ebzhaopin.cn/department/detailInfo.action?uuid=d266dfb9-6d5b-421d-8e09-8acd4bd215f3"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制剂研发人员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研究生/博士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"http://www.ebzhaopin.cn/department/detailInfo.action?uuid=be825c15-ad5a-4ca7-ae4a-2a165d928f1e"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电镜技术员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实验技术岗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基础医学、生物学、临床医学、药学、动物医学、生物医学工程、化学及相关专业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"http://www.ebzhaopin.cn/department/detailInfo.action?uuid=b2f5fe99-96d0-4d62-a19f-a2a687976857"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实验技术员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实验技术岗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基础医学、生物学、临床医学、药学、动物医学、生物医学工程、化学及相关专业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血液肿瘤实验室</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"http://www.ebzhaopin.cn/department/detailInfo.action?uuid=03417f8a-5732-4d20-b88c-661848a73334"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科研助理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实验技术岗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基础医学、生物学、临床医学及相关专业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具有临床执业医师资格者优先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麻醉科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"http://www.ebzhaopin.cn/department/detailInfo.action?uuid=170d6ac6-fcd0-4050-b042-8382b0bc08eb"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科研助理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实验技术岗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呼吸内科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"http://www.ebzhaopin.cn/department/detailInfo.action?uuid=89a504f0-0873-4442-b381-2c6caabc149d"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C10-23-29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心血管内科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"http://www.ebzhaopin.cn/department/detailInfo.action?uuid=fded41de-ac84-42be-80e9-43407f4a03fe"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儿科学、内科学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内分泌科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"http://www.ebzhaopin.cn/department/detailInfo.action?uuid=f3be05f4-c044-49b7-a203-550cb704984c"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消化内科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"http://www.ebzhaopin.cn/department/detailInfo.action?uuid=102bd8ba-d9b1-413b-9c55-2a73f0dc0530"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内镜中心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"http://www.ebzhaopin.cn/department/detailInfo.action?uuid=c2c8848b-bde6-427d-89c5-fe1a24d4af3a"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内科学（消化内科）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内镜中心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"http://www.ebzhaopin.cn/department/detailInfo.action?uuid=3b93a004-7426-4dca-bf17-9928744e6368"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内科学（呼吸内科）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神经内科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"http://www.ebzhaopin.cn/department/detailInfo.action?uuid=d62d1d32-d94a-4bdb-958b-d4ec1706c01a"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血液科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"http://www.ebzhaopin.cn/department/detailInfo.action?uuid=0148cfad-cc00-4fab-8088-ec1e59fae25a"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儿科学、内科学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感染科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"http://www.ebzhaopin.cn/department/detailInfo.action?uuid=ab07675c-1cd2-4282-8391-5f6bf7fdac27"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儿科学、内科学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临床营养科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"http://www.ebzhaopin.cn/department/detailInfo.action?uuid=bb8e1ed1-9047-4dc6-8dd5-88ba4216a34f"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肾脏内科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"http://www.ebzhaopin.cn/department/detailInfo.action?uuid=dcf7afdf-f2af-43b3-9cee-d0edbc80b51e"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C10-23-39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PICU</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"http://www.ebzhaopin.cn/department/detailInfo.action?uuid=5bc0d529-cbf9-4ea7-8835-d73f231fbf30"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骨科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"http://www.ebzhaopin.cn/department/detailInfo.action?uuid=87f3f204-6740-4cc3-90f4-92a6b1eab419"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儿科学、外科学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急诊创伤外科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"http://www.ebzhaopin.cn/department/detailInfo.action?uuid=8e5cd001-045b-46b6-bd9a-c2327c01547d"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取得小儿外科规培证书者优先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神经外科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"http://www.ebzhaopin.cn/department/detailInfo.action?uuid=9e5d3338-d91f-4c85-9061-6b1208bad28d"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儿科学、外科学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麻醉科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"http://www.ebzhaopin.cn/department/detailInfo.action?uuid=6737d645-369e-4ae6-b594-48cf2114c29c"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新生儿内科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"http://www.ebzhaopin.cn/department/detailInfo.action?uuid=70a47499-3f6f-44a5-906d-e9f3f90c48ea"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具有科学硕士或科学博士学位者优先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急诊科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"http://www.ebzhaopin.cn/department/detailInfo.action?uuid=633518b0-0dfd-431d-b769-2876814cd922"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"http://www.ebzhaopin.cn/department/detailInfo.action?uuid=7fd5bd37-9819-46c1-ad3f-df047386946b"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临床医师3</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掌握神经电生理学者优先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"http://www.ebzhaopin.cn/department/detailInfo.action?uuid=7639553a-dcf5-45af-8e67-489dc1b7fd29"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临床医师4</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中医学、中西医结合</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针灸推拿学专业优先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心理科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"http://www.ebzhaopin.cn/department/detailInfo.action?uuid=5739ceaf-f169-4987-902d-0532c010ead3"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C10-23-49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精神病与精神卫生学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须取得住院医师规范化培训合格证书</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小儿妇科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"http://www.ebzhaopin.cn/department/detailInfo.action?uuid=e1a353bb-b669-40dc-9287-dfffcf721757"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妇产科学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临床执业医师资格、主治医师资格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有较丰富的临床工作经验，近三年无医疗事故，对经学校评审或认定为副主任医师及以上专业技术职务的，可适当放宽年龄条件。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耳鼻咽喉头颈外科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"http://www.ebzhaopin.cn/department/detailInfo.action?uuid=dac6d374-b05a-45c5-b011-9c1a3367d12d"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耳鼻咽喉科学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眼科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"http://www.ebzhaopin.cn/department/detailInfo.action?uuid=02a67aaa-d655-4415-a05e-336ee009d83a"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眼科学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须取得住院医师规范化培训合格证书</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口腔科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"http://www.ebzhaopin.cn/department/detailInfo.action?uuid=dd9929c8-8334-4b7f-9638-94f72ab00a38"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口腔医学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皮肤科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"http://www.ebzhaopin.cn/department/detailInfo.action?uuid=e1012530-1bd6-4bd5-b237-5f4ca65cf692"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皮肤病与性病学、儿科学、外科学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须取得住院医师规范化培训合格证书</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病理科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"http://www.ebzhaopin.cn/department/detailInfo.action?uuid=c333eaf4-ee8c-4407-a35e-6916d924237c"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临床医学、病理学与病理生理学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已取得住院医师规范化培训合格证书者优先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超声科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"http://www.ebzhaopin.cn/department/detailInfo.action?uuid=80f6846e-1af9-4827-8b6b-8984ac376b2a"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脑电图室</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"http://www.ebzhaopin.cn/department/detailInfo.action?uuid=03e1c9fb-f9e7-4c71-83b6-3daadfb7c4c8"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临床医学（儿科学、神经病学）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临床执业医师资格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须取得住院医师规范化培训合格证书。有神经电生理经验者优先。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放射科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"http://www.ebzhaopin.cn/department/detailInfo.action?uuid=27467f8b-e677-4ce7-a4fd-6f13b2098022"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放射诊断</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预防保健科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"http://www.ebzhaopin.cn/department/detailInfo.action?uuid=d961de0c-8b26-4ecb-8e66-2ac270ef6a45"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C10-23-59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临床医师岗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执业医师资格和中级以上专业技术职务资格，有较丰富的临床工作经验，近三年无医疗事故，年龄一般不超过45周岁。对经学校评审或认定为副主任医师及以上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"http://www.ebzhaopin.cn/department/detailInfo.action?uuid=c6819579-7763-4ec9-be7d-ce7d41fb5282"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药剂人员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"http://www.ebzhaopin.cn/department/detailInfo.action?uuid=023d4c8b-deb3-46bf-b118-7de197e8bb3b"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临床药师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药剂岗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药学相关专业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临床营养科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"http://www.ebzhaopin.cn/department/detailInfo.action?uuid=65407df1-547a-422b-80b6-79fd1866adcb"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营养师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公共卫生与预防医学、公共卫生、社会医学与卫生事业管理及相关专业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遗传与代谢科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"http://www.ebzhaopin.cn/department/detailInfo.action?uuid=70fa806d-92d3-4381-ab78-faa9c9024748"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技师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医学、遗传学及相关专业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"http://www.ebzhaopin.cn/department/detailInfo.action?uuid=474e3d55-05a8-4956-bf43-237fd7dff243"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物理治疗师1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主管技师资格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"http://www.ebzhaopin.cn/department/detailInfo.action?uuid=65bc24f2-be7c-49bd-848f-5ac6e3307284"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物理治疗师2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"http://www.ebzhaopin.cn/department/detailInfo.action?uuid=513099b7-b0d8-46c7-837e-0f99a25243b2"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职业治疗师1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康复医学与理疗学（职业治疗方向）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主管技师资格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"http://www.ebzhaopin.cn/department/detailInfo.action?uuid=1204547a-5926-4fc5-a7df-2c089d4e6f9b"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职业治疗师2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康复医学与理疗学（职业治疗方向）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"http://www.ebzhaopin.cn/department/detailInfo.action?uuid=0622de7f-a48d-42cc-8ce4-615d996202e9"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言语治疗师1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35</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康复医学与理疗学（言语治疗方向）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主管技师资格</w:t>
            </w: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69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"http://www.ebzhaopin.cn/department/detailInfo.action?uuid=64585df1-2653-4c09-9c05-b67468de318b"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言语治疗师2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C10-23-69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4</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康复医学与理疗学（言语治疗方向）</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康复科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"http://www.ebzhaopin.cn/department/detailInfo.action?uuid=eeeadf74-f7e6-4c8f-b92c-b4efcbed58ac"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心理咨询师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心理学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眼科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"http://www.ebzhaopin.cn/department/detailInfo.action?uuid=12de3e3f-d49c-4f41-9d00-877426c564d1"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技师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眼科学、眼视光技术等相关专业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实验检验中心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"http://www.ebzhaopin.cn/department/detailInfo.action?uuid=ca5419f5-aa36-42a4-bdb1-4d01f208c88a"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技师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临床检验诊断学及相关专业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本科要求为医学检验专业。具有博士学位者优先。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放射科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"http://www.ebzhaopin.cn/department/detailInfo.action?uuid=5be3206f-5e88-45bb-98fd-18de38752a25"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放射治疗</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影像医学与核医学、物理学、生物医学工程、放射医学、肿瘤学及相关专业、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放射科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"http://www.ebzhaopin.cn/department/detailInfo.action?uuid=ea9c175c-c25f-44a2-aa25-241b97ae5ce6"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放射技术</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影像医学与核医学，影像医学技术等相关专业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病理科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"http://www.ebzhaopin.cn/department/detailInfo.action?uuid=7b90fa7b-8e50-4570-8711-6299c4a96d67"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技师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病理学与病理生理学、临床检验诊断学等相关专业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输血科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"http://www.ebzhaopin.cn/department/detailInfo.action?uuid=5881643b-a27c-456a-b77a-56b98d5f24e9"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技师</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医技岗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临床医学、基础医学、临床检验诊断学等相关专业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非应届毕业生应具备中级及以上专业技术职务资格，年龄放宽至35周岁，对经学校评审或认定为高级专业技术职务的，可适当放宽年龄条件。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护理部</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"http://www.ebzhaopin.cn/department/detailInfo.action?uuid=35cf9d23-e44e-4db7-bfb3-c6d7eab33f34"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护理1</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100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本科/学士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非应届毕业生应具有岗位要求的职业资格和中级及以上专业技术职务资格，专业能力强，护理工作经验丰富，年龄一般不超过35周岁。</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护理部</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"http://www.ebzhaopin.cn/department/detailInfo.action?uuid=9015df02-2483-40ce-a1d8-40898d207103"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护理2</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200</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护理学</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本科/学士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非应届毕业生应具有岗位要求的职业资格和中级及以上专业技术职务资格，专业能力强，护理工作经验丰富，年龄一般不超过35周岁。定向工作地点为莫干山院区。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79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医疗设备科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"http://www.ebzhaopin.cn/department/detailInfo.action?uuid=84a702a8-214f-4180-b274-a2561011e62e"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工程人员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C10-23-79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5</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生物医学工程及相关专业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具有博士学位者优先。</w:t>
            </w: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非应届毕业生应具有中级及以上专业技术职务资格，工作经验丰富，年龄一般不超过35周岁，对经学校评审或认定为高级专业技术职务的，可适当放宽年龄条件。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信息中心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"http://www.ebzhaopin.cn/department/detailInfo.action?uuid=15e7c9af-cc16-423a-8e8d-903146807320"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信息管理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计算机科学与技术、生物医学工程、软件工程及相关专业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总务科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"http://www.ebzhaopin.cn/department/detailInfo.action?uuid=686373b6-4991-4a2f-86f1-d189be9823b9"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后勤管理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供热、供燃气、通风及空调工程等相关专业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总务科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"http://www.ebzhaopin.cn/department/detailInfo.action?uuid=e39e6d7c-6f90-4469-b244-14d242b41dd8"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工程管理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2</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机械电气工程等相关专业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总务科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"http://www.ebzhaopin.cn/department/detailInfo.action?uuid=8aa92844-6fa7-49c6-a900-75dd8ea389cf"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弱电管理</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信息与通信工程</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84</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基建科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"http://www.ebzhaopin.cn/department/detailInfo.action?uuid=b06a5f5b-c92b-41a8-ab72-ab5ae7b5208a"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基建科</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C10-23-84</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非医疗类技术岗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建筑学、土木工程及相关专业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85</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国家中心</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"http://www.ebzhaopin.cn/department/detailInfo.action?uuid=ac6e2eba-6d68-490b-a632-b3b405c7fea9"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C10-23-85</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86</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儿童保健科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"http://www.ebzhaopin.cn/department/detailInfo.action?uuid=88985abe-968f-4c2e-9cca-b32c2921d0c0"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市场营销</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C10-23-86</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经济、管理等相关专业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条件特别优秀者，可适当放宽年龄条件。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87</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护理部</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"http://www.ebzhaopin.cn/department/detailInfo.action?uuid=7fac0ebb-a1ae-4252-82e0-c94c0250b4df"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C10-23-87</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88</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医务科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"http://www.ebzhaopin.cn/department/detailInfo.action?uuid=e85c8e02-d3e5-49e2-ad6e-10aeffb885d8"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C10-23-88</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专业技术</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公共卫生与预防医学、公共卫生、社会医学与卫生事业管理、法学及相关专业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89</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医保办</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"http://www.ebzhaopin.cn/department/detailInfo.action?uuid=b7941742-343d-4645-b7cf-0e77b5c6f63d"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C10-23-89</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社会医学与卫生事业管理、公共管理等相关专业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90</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党政综合办公室</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"http://www.ebzhaopin.cn/department/detailInfo.action?uuid=369f32d1-f4c7-46cc-a656-eafdf4fd1b5b"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C10-23-90</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公共管理、汉语言文学、社会医学与卫生事业管理及相关专业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不限</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91</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科研办</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"http://www.ebzhaopin.cn/department/detailInfo.action?uuid=564148da-33bb-499c-8ec8-4e360fb98f30"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C10-23-91</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医学相关专业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92</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教育办</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"http://www.ebzhaopin.cn/department/detailInfo.action?uuid=b4bb5dea-917d-4e1a-afa8-7a81b6c9c79f"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C10-23-92</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1</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临床医学、社会医学与卫生事业管理、公共管理等相关专业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35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93</w:t>
            </w:r>
          </w:p>
        </w:tc>
        <w:tc>
          <w:tcPr>
            <w:tcW w:w="671"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保卫科</w:t>
            </w:r>
          </w:p>
        </w:tc>
        <w:tc>
          <w:tcPr>
            <w:tcW w:w="75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428BCA"/>
                <w:spacing w:val="0"/>
                <w:kern w:val="0"/>
                <w:sz w:val="15"/>
                <w:szCs w:val="15"/>
                <w:u w:val="none"/>
                <w:lang w:val="en-US" w:eastAsia="zh-CN" w:bidi="ar"/>
              </w:rPr>
              <w:fldChar w:fldCharType="begin"/>
            </w:r>
            <w:r>
              <w:rPr>
                <w:rFonts w:hint="default" w:ascii="Helvetica" w:hAnsi="Helvetica" w:eastAsia="Helvetica" w:cs="Helvetica"/>
                <w:i w:val="0"/>
                <w:iCs w:val="0"/>
                <w:caps w:val="0"/>
                <w:color w:val="428BCA"/>
                <w:spacing w:val="0"/>
                <w:kern w:val="0"/>
                <w:sz w:val="15"/>
                <w:szCs w:val="15"/>
                <w:u w:val="none"/>
                <w:lang w:val="en-US" w:eastAsia="zh-CN" w:bidi="ar"/>
              </w:rPr>
              <w:instrText xml:space="preserve"> HYPERLINK "http://www.ebzhaopin.cn/department/detailInfo.action?uuid=02ed4248-94d8-4812-94a3-4e08afba090a" </w:instrText>
            </w:r>
            <w:r>
              <w:rPr>
                <w:rFonts w:hint="default" w:ascii="Helvetica" w:hAnsi="Helvetica" w:eastAsia="Helvetica" w:cs="Helvetica"/>
                <w:i w:val="0"/>
                <w:iCs w:val="0"/>
                <w:caps w:val="0"/>
                <w:color w:val="428BCA"/>
                <w:spacing w:val="0"/>
                <w:kern w:val="0"/>
                <w:sz w:val="15"/>
                <w:szCs w:val="15"/>
                <w:u w:val="none"/>
                <w:lang w:val="en-US" w:eastAsia="zh-CN" w:bidi="ar"/>
              </w:rPr>
              <w:fldChar w:fldCharType="separate"/>
            </w:r>
            <w:r>
              <w:rPr>
                <w:rStyle w:val="4"/>
                <w:rFonts w:hint="default" w:ascii="Helvetica" w:hAnsi="Helvetica" w:eastAsia="Helvetica" w:cs="Helvetica"/>
                <w:i w:val="0"/>
                <w:iCs w:val="0"/>
                <w:caps w:val="0"/>
                <w:color w:val="428BCA"/>
                <w:spacing w:val="0"/>
                <w:sz w:val="15"/>
                <w:szCs w:val="15"/>
                <w:u w:val="none"/>
              </w:rPr>
              <w:t>职员</w:t>
            </w:r>
            <w:r>
              <w:rPr>
                <w:rFonts w:hint="default" w:ascii="Helvetica" w:hAnsi="Helvetica" w:eastAsia="Helvetica" w:cs="Helvetica"/>
                <w:i w:val="0"/>
                <w:iCs w:val="0"/>
                <w:caps w:val="0"/>
                <w:color w:val="428BCA"/>
                <w:spacing w:val="0"/>
                <w:kern w:val="0"/>
                <w:sz w:val="15"/>
                <w:szCs w:val="15"/>
                <w:u w:val="none"/>
                <w:lang w:val="en-US" w:eastAsia="zh-CN" w:bidi="ar"/>
              </w:rPr>
              <w:fldChar w:fldCharType="end"/>
            </w:r>
          </w:p>
        </w:tc>
        <w:tc>
          <w:tcPr>
            <w:tcW w:w="79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C10-23-93</w:t>
            </w:r>
          </w:p>
        </w:tc>
        <w:tc>
          <w:tcPr>
            <w:tcW w:w="8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管理岗</w:t>
            </w:r>
          </w:p>
        </w:tc>
        <w:tc>
          <w:tcPr>
            <w:tcW w:w="86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普通应往届毕业生</w:t>
            </w:r>
          </w:p>
        </w:tc>
        <w:tc>
          <w:tcPr>
            <w:tcW w:w="64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管理</w:t>
            </w:r>
          </w:p>
        </w:tc>
        <w:tc>
          <w:tcPr>
            <w:tcW w:w="379"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w:t>
            </w:r>
          </w:p>
        </w:tc>
        <w:tc>
          <w:tcPr>
            <w:tcW w:w="718"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30</w:t>
            </w:r>
          </w:p>
        </w:tc>
        <w:tc>
          <w:tcPr>
            <w:tcW w:w="1543"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化学工程与技术、公共安全管理、消防工程、安全科学与工程、土木工程、电气工程、公共管理及相关专业</w:t>
            </w:r>
          </w:p>
        </w:tc>
        <w:tc>
          <w:tcPr>
            <w:tcW w:w="964"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研究生/硕士</w:t>
            </w:r>
          </w:p>
        </w:tc>
        <w:tc>
          <w:tcPr>
            <w:tcW w:w="1372"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2250"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jc w:val="center"/>
              <w:rPr>
                <w:rFonts w:hint="default" w:ascii="Helvetica" w:hAnsi="Helvetica" w:eastAsia="Helvetica" w:cs="Helvetica"/>
                <w:i w:val="0"/>
                <w:iCs w:val="0"/>
                <w:caps w:val="0"/>
                <w:color w:val="333333"/>
                <w:spacing w:val="0"/>
                <w:sz w:val="15"/>
                <w:szCs w:val="15"/>
              </w:rPr>
            </w:pPr>
          </w:p>
        </w:tc>
        <w:tc>
          <w:tcPr>
            <w:tcW w:w="696" w:type="dxa"/>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pPr>
              <w:keepNext w:val="0"/>
              <w:keepLines w:val="0"/>
              <w:widowControl/>
              <w:suppressLineNumbers w:val="0"/>
              <w:jc w:val="center"/>
              <w:rPr>
                <w:rFonts w:hint="default" w:ascii="Helvetica" w:hAnsi="Helvetica" w:eastAsia="Helvetica" w:cs="Helvetica"/>
                <w:i w:val="0"/>
                <w:iCs w:val="0"/>
                <w:caps w:val="0"/>
                <w:color w:val="333333"/>
                <w:spacing w:val="0"/>
                <w:sz w:val="15"/>
                <w:szCs w:val="15"/>
              </w:rPr>
            </w:pPr>
            <w:r>
              <w:rPr>
                <w:rFonts w:hint="default" w:ascii="Helvetica" w:hAnsi="Helvetica" w:eastAsia="Helvetica" w:cs="Helvetica"/>
                <w:i w:val="0"/>
                <w:iCs w:val="0"/>
                <w:caps w:val="0"/>
                <w:color w:val="333333"/>
                <w:spacing w:val="0"/>
                <w:kern w:val="0"/>
                <w:sz w:val="15"/>
                <w:szCs w:val="15"/>
                <w:lang w:val="en-US" w:eastAsia="zh-CN" w:bidi="ar"/>
              </w:rPr>
              <w:t>应届</w:t>
            </w:r>
          </w:p>
        </w:tc>
        <w:tc>
          <w:tcPr>
            <w:tcW w:w="2581" w:type="dxa"/>
            <w:shd w:val="clear" w:color="auto" w:fill="FFFFFF"/>
            <w:vAlign w:val="center"/>
          </w:tcPr>
          <w:p>
            <w:pPr>
              <w:jc w:val="left"/>
              <w:rPr>
                <w:rFonts w:hint="default" w:ascii="Helvetica" w:hAnsi="Helvetica" w:eastAsia="Helvetica" w:cs="Helvetica"/>
                <w:i w:val="0"/>
                <w:iCs w:val="0"/>
                <w:caps w:val="0"/>
                <w:color w:val="333333"/>
                <w:spacing w:val="0"/>
                <w:sz w:val="15"/>
                <w:szCs w:val="15"/>
              </w:rPr>
            </w:pPr>
          </w:p>
        </w:tc>
      </w:tr>
    </w:tbl>
    <w:p>
      <w:pPr>
        <w:rPr>
          <w:sz w:val="21"/>
          <w:szCs w:val="21"/>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jYzY3MjQ4OTVmYzcxODAwNzBlMmU2MTg2MGI1MTMifQ=="/>
  </w:docVars>
  <w:rsids>
    <w:rsidRoot w:val="00000000"/>
    <w:rsid w:val="05A91400"/>
    <w:rsid w:val="0620157F"/>
    <w:rsid w:val="07AE7633"/>
    <w:rsid w:val="0C1345D6"/>
    <w:rsid w:val="0D4E0201"/>
    <w:rsid w:val="150418A7"/>
    <w:rsid w:val="154D016C"/>
    <w:rsid w:val="16396277"/>
    <w:rsid w:val="1969143D"/>
    <w:rsid w:val="27FA35D1"/>
    <w:rsid w:val="2AD72926"/>
    <w:rsid w:val="2F7D007A"/>
    <w:rsid w:val="3F193B93"/>
    <w:rsid w:val="419421A1"/>
    <w:rsid w:val="48663F75"/>
    <w:rsid w:val="48A86983"/>
    <w:rsid w:val="499A56A0"/>
    <w:rsid w:val="4B76739F"/>
    <w:rsid w:val="4D0034B8"/>
    <w:rsid w:val="51586B2D"/>
    <w:rsid w:val="593D689E"/>
    <w:rsid w:val="60B31602"/>
    <w:rsid w:val="6DDF170B"/>
    <w:rsid w:val="762C27C5"/>
    <w:rsid w:val="79E838B3"/>
    <w:rsid w:val="7CB575A5"/>
    <w:rsid w:val="7CE93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333333"/>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2022-11-12T10:04:19Z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342AAF35D3B24470A01525D019AB87AE</vt:lpwstr>
  </property>
</Properties>
</file>