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spacing w:before="312" w:beforeLines="100" w:after="312" w:afterLines="100" w:line="240" w:lineRule="exact"/>
        <w:jc w:val="center"/>
        <w:rPr>
          <w:rFonts w:hint="eastAsia" w:ascii="华文中宋" w:hAnsi="华文中宋" w:eastAsia="华文中宋" w:cs="华文中宋"/>
          <w:bCs/>
          <w:color w:val="000000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bCs/>
          <w:color w:val="000000"/>
          <w:sz w:val="44"/>
          <w:szCs w:val="44"/>
        </w:rPr>
        <w:t>2023年宁海县公开招聘高学历教师计划表</w:t>
      </w:r>
    </w:p>
    <w:bookmarkEnd w:id="0"/>
    <w:tbl>
      <w:tblPr>
        <w:tblStyle w:val="2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716"/>
        <w:gridCol w:w="661"/>
        <w:gridCol w:w="602"/>
        <w:gridCol w:w="571"/>
        <w:gridCol w:w="5496"/>
        <w:gridCol w:w="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学段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学科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招聘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计划数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学历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类别</w:t>
            </w:r>
          </w:p>
        </w:tc>
        <w:tc>
          <w:tcPr>
            <w:tcW w:w="5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专业要求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633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中小学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语文</w:t>
            </w:r>
          </w:p>
        </w:tc>
        <w:tc>
          <w:tcPr>
            <w:tcW w:w="66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</w:t>
            </w:r>
          </w:p>
        </w:tc>
        <w:tc>
          <w:tcPr>
            <w:tcW w:w="602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硕士研究生及以上</w:t>
            </w:r>
          </w:p>
        </w:tc>
        <w:tc>
          <w:tcPr>
            <w:tcW w:w="57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不限</w:t>
            </w:r>
          </w:p>
        </w:tc>
        <w:tc>
          <w:tcPr>
            <w:tcW w:w="5496" w:type="dxa"/>
            <w:noWrap w:val="0"/>
            <w:vAlign w:val="center"/>
          </w:tcPr>
          <w:p>
            <w:pPr>
              <w:spacing w:line="280" w:lineRule="exact"/>
              <w:rPr>
                <w:rFonts w:hint="eastAsia"/>
                <w:color w:val="FF0000"/>
                <w:szCs w:val="21"/>
              </w:rPr>
            </w:pPr>
            <w:r>
              <w:rPr>
                <w:szCs w:val="21"/>
              </w:rPr>
              <w:t>文艺学</w:t>
            </w:r>
            <w:r>
              <w:rPr>
                <w:rFonts w:hint="eastAsia"/>
                <w:szCs w:val="21"/>
              </w:rPr>
              <w:t>、语言学及应用语言学、汉语言文字学、中国古典文献学、中国古代文学、中国现当代文学、比较文学与世界文学、中国语言文学、中国少数民族语言文学、</w:t>
            </w:r>
            <w:r>
              <w:rPr>
                <w:szCs w:val="21"/>
              </w:rPr>
              <w:t>汉语国际教育</w:t>
            </w:r>
            <w:r>
              <w:rPr>
                <w:rFonts w:hint="eastAsia"/>
                <w:szCs w:val="21"/>
              </w:rPr>
              <w:t>、学科教学（语文）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课程与教学论</w:t>
            </w:r>
          </w:p>
        </w:tc>
        <w:tc>
          <w:tcPr>
            <w:tcW w:w="681" w:type="dxa"/>
            <w:vMerge w:val="restart"/>
            <w:noWrap w:val="0"/>
            <w:vAlign w:val="center"/>
          </w:tcPr>
          <w:p>
            <w:pPr>
              <w:spacing w:line="28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16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数学</w:t>
            </w:r>
          </w:p>
        </w:tc>
        <w:tc>
          <w:tcPr>
            <w:tcW w:w="66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02" w:type="dxa"/>
            <w:vMerge w:val="continue"/>
            <w:noWrap w:val="0"/>
            <w:vAlign w:val="center"/>
          </w:tcPr>
          <w:p>
            <w:pPr>
              <w:spacing w:line="28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spacing w:line="28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496" w:type="dxa"/>
            <w:noWrap w:val="0"/>
            <w:vAlign w:val="center"/>
          </w:tcPr>
          <w:p>
            <w:pPr>
              <w:spacing w:line="280" w:lineRule="exact"/>
              <w:rPr>
                <w:rFonts w:hint="eastAsia"/>
                <w:color w:val="FF0000"/>
                <w:szCs w:val="21"/>
              </w:rPr>
            </w:pPr>
            <w:r>
              <w:rPr>
                <w:szCs w:val="21"/>
              </w:rPr>
              <w:t>基础数学、计算数学、概率论与数理统计、应用数学、运筹学与控制论、</w:t>
            </w:r>
            <w:r>
              <w:rPr>
                <w:rFonts w:hint="eastAsia"/>
                <w:szCs w:val="21"/>
              </w:rPr>
              <w:t>学科教学（数学）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课程与教学论</w:t>
            </w:r>
          </w:p>
        </w:tc>
        <w:tc>
          <w:tcPr>
            <w:tcW w:w="681" w:type="dxa"/>
            <w:vMerge w:val="continue"/>
            <w:noWrap w:val="0"/>
            <w:vAlign w:val="center"/>
          </w:tcPr>
          <w:p>
            <w:pPr>
              <w:spacing w:line="28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英语</w:t>
            </w:r>
          </w:p>
        </w:tc>
        <w:tc>
          <w:tcPr>
            <w:tcW w:w="66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02" w:type="dxa"/>
            <w:vMerge w:val="continue"/>
            <w:noWrap w:val="0"/>
            <w:vAlign w:val="center"/>
          </w:tcPr>
          <w:p>
            <w:pPr>
              <w:spacing w:line="28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spacing w:line="28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496" w:type="dxa"/>
            <w:noWrap w:val="0"/>
            <w:vAlign w:val="center"/>
          </w:tcPr>
          <w:p>
            <w:pPr>
              <w:spacing w:line="280" w:lineRule="exact"/>
              <w:rPr>
                <w:rFonts w:hint="eastAsia"/>
                <w:color w:val="FF0000"/>
                <w:szCs w:val="21"/>
              </w:rPr>
            </w:pPr>
            <w:r>
              <w:rPr>
                <w:szCs w:val="21"/>
              </w:rPr>
              <w:t>英语语言文学、外国语言学及应用语言学、英语笔译、英语口译、</w:t>
            </w:r>
            <w:r>
              <w:rPr>
                <w:rFonts w:hint="eastAsia"/>
                <w:szCs w:val="21"/>
              </w:rPr>
              <w:t>学科教学（英语）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课程与教学论</w:t>
            </w:r>
          </w:p>
        </w:tc>
        <w:tc>
          <w:tcPr>
            <w:tcW w:w="681" w:type="dxa"/>
            <w:vMerge w:val="continue"/>
            <w:noWrap w:val="0"/>
            <w:vAlign w:val="center"/>
          </w:tcPr>
          <w:p>
            <w:pPr>
              <w:spacing w:line="280" w:lineRule="exact"/>
              <w:rPr>
                <w:color w:val="67676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6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</w:t>
            </w:r>
          </w:p>
        </w:tc>
        <w:tc>
          <w:tcPr>
            <w:tcW w:w="66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0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496" w:type="dxa"/>
            <w:noWrap w:val="0"/>
            <w:vAlign w:val="center"/>
          </w:tcPr>
          <w:p>
            <w:pPr>
              <w:spacing w:line="280" w:lineRule="exact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马克思主义哲学</w:t>
            </w:r>
            <w:r>
              <w:rPr>
                <w:rFonts w:hint="eastAsia"/>
                <w:color w:val="000000"/>
                <w:szCs w:val="21"/>
              </w:rPr>
              <w:t>、中国哲学、外国哲学、</w:t>
            </w:r>
            <w:r>
              <w:rPr>
                <w:color w:val="000000"/>
                <w:szCs w:val="21"/>
              </w:rPr>
              <w:t>逻辑学、宗教学、伦理学、美学、科学技术哲学、哲学、</w:t>
            </w:r>
            <w:r>
              <w:rPr>
                <w:szCs w:val="21"/>
              </w:rPr>
              <w:t>政治学理论、中外政治制度、科学社会主义与国际共产主义运动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中共历史、国际政治、国际关系、外交学、马克思主义基本原理</w:t>
            </w:r>
            <w:r>
              <w:rPr>
                <w:rFonts w:hint="eastAsia"/>
                <w:szCs w:val="21"/>
              </w:rPr>
              <w:t>、马克思主义发展史、马克思主义中国化研究、国外马克思主义研究</w:t>
            </w:r>
            <w:r>
              <w:rPr>
                <w:szCs w:val="21"/>
              </w:rPr>
              <w:t>、思想政治教育、中国近现代史基本问题研究、</w:t>
            </w:r>
            <w:r>
              <w:rPr>
                <w:rFonts w:hint="eastAsia"/>
                <w:szCs w:val="21"/>
              </w:rPr>
              <w:t>学科教学</w:t>
            </w:r>
            <w:r>
              <w:rPr>
                <w:szCs w:val="21"/>
              </w:rPr>
              <w:t>（思政）、</w:t>
            </w:r>
            <w:r>
              <w:rPr>
                <w:rFonts w:hint="eastAsia"/>
                <w:szCs w:val="21"/>
              </w:rPr>
              <w:t>课程与教学论</w:t>
            </w:r>
          </w:p>
        </w:tc>
        <w:tc>
          <w:tcPr>
            <w:tcW w:w="681" w:type="dxa"/>
            <w:vMerge w:val="continue"/>
            <w:noWrap w:val="0"/>
            <w:vAlign w:val="center"/>
          </w:tcPr>
          <w:p>
            <w:pPr>
              <w:spacing w:line="28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历史</w:t>
            </w:r>
          </w:p>
        </w:tc>
        <w:tc>
          <w:tcPr>
            <w:tcW w:w="66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02" w:type="dxa"/>
            <w:vMerge w:val="continue"/>
            <w:noWrap w:val="0"/>
            <w:vAlign w:val="center"/>
          </w:tcPr>
          <w:p>
            <w:pPr>
              <w:spacing w:line="28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spacing w:line="28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496" w:type="dxa"/>
            <w:noWrap w:val="0"/>
            <w:vAlign w:val="center"/>
          </w:tcPr>
          <w:p>
            <w:pPr>
              <w:spacing w:line="280" w:lineRule="exact"/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考古学、中国史、世界史、文物与博物馆、学科教学（历史）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课程与教学论</w:t>
            </w:r>
          </w:p>
        </w:tc>
        <w:tc>
          <w:tcPr>
            <w:tcW w:w="681" w:type="dxa"/>
            <w:vMerge w:val="continue"/>
            <w:noWrap w:val="0"/>
            <w:vAlign w:val="center"/>
          </w:tcPr>
          <w:p>
            <w:pPr>
              <w:spacing w:line="28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地理</w:t>
            </w:r>
          </w:p>
        </w:tc>
        <w:tc>
          <w:tcPr>
            <w:tcW w:w="66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02" w:type="dxa"/>
            <w:vMerge w:val="continue"/>
            <w:noWrap w:val="0"/>
            <w:vAlign w:val="center"/>
          </w:tcPr>
          <w:p>
            <w:pPr>
              <w:spacing w:line="28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spacing w:line="28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496" w:type="dxa"/>
            <w:noWrap w:val="0"/>
            <w:vAlign w:val="center"/>
          </w:tcPr>
          <w:p>
            <w:pPr>
              <w:spacing w:line="280" w:lineRule="exact"/>
              <w:rPr>
                <w:rFonts w:hint="eastAsia"/>
                <w:color w:val="FF0000"/>
                <w:szCs w:val="21"/>
              </w:rPr>
            </w:pPr>
            <w:r>
              <w:rPr>
                <w:szCs w:val="21"/>
              </w:rPr>
              <w:t>自然地理、人文地理学、地图学与地理信息系统、</w:t>
            </w:r>
            <w:r>
              <w:rPr>
                <w:rFonts w:hint="eastAsia"/>
                <w:szCs w:val="21"/>
              </w:rPr>
              <w:t>学科教学（地理）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课程与教学论</w:t>
            </w:r>
          </w:p>
        </w:tc>
        <w:tc>
          <w:tcPr>
            <w:tcW w:w="681" w:type="dxa"/>
            <w:vMerge w:val="continue"/>
            <w:noWrap w:val="0"/>
            <w:vAlign w:val="center"/>
          </w:tcPr>
          <w:p>
            <w:pPr>
              <w:spacing w:line="28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信息技术</w:t>
            </w:r>
          </w:p>
        </w:tc>
        <w:tc>
          <w:tcPr>
            <w:tcW w:w="66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02" w:type="dxa"/>
            <w:vMerge w:val="continue"/>
            <w:noWrap w:val="0"/>
            <w:vAlign w:val="center"/>
          </w:tcPr>
          <w:p>
            <w:pPr>
              <w:spacing w:line="280" w:lineRule="exact"/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spacing w:line="280" w:lineRule="exact"/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5496" w:type="dxa"/>
            <w:noWrap w:val="0"/>
            <w:vAlign w:val="center"/>
          </w:tcPr>
          <w:p>
            <w:pPr>
              <w:spacing w:line="280" w:lineRule="exact"/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计算机系统结构、计算机软件与理论、计算机应用技术、教育技术学、现代教育技术、课程与教学论</w:t>
            </w:r>
          </w:p>
        </w:tc>
        <w:tc>
          <w:tcPr>
            <w:tcW w:w="681" w:type="dxa"/>
            <w:vMerge w:val="continue"/>
            <w:noWrap w:val="0"/>
            <w:vAlign w:val="center"/>
          </w:tcPr>
          <w:p>
            <w:pPr>
              <w:spacing w:line="28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科学</w:t>
            </w:r>
          </w:p>
        </w:tc>
        <w:tc>
          <w:tcPr>
            <w:tcW w:w="66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02" w:type="dxa"/>
            <w:vMerge w:val="continue"/>
            <w:noWrap w:val="0"/>
            <w:vAlign w:val="center"/>
          </w:tcPr>
          <w:p>
            <w:pPr>
              <w:spacing w:line="280" w:lineRule="exact"/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spacing w:line="280" w:lineRule="exact"/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5496" w:type="dxa"/>
            <w:noWrap w:val="0"/>
            <w:vAlign w:val="center"/>
          </w:tcPr>
          <w:p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理论物理、粒子物理与原子核物理、原子与分子物理、等离子体物理、凝聚态物理、声学、光学、无线电物理、无机化学、分析化学、有机化学、物理化学、高分子化学与物理、植物学、动物学、生理学、水生生物学、微生物学、神经生物学、遗传学、发育生物学、细胞生物学、生物化学与分子生物学、生物物理学、学科教学（化学）、学科教学（生物）、科学与技术教育、课程与教学论</w:t>
            </w:r>
          </w:p>
        </w:tc>
        <w:tc>
          <w:tcPr>
            <w:tcW w:w="681" w:type="dxa"/>
            <w:vMerge w:val="continue"/>
            <w:noWrap w:val="0"/>
            <w:vAlign w:val="center"/>
          </w:tcPr>
          <w:p>
            <w:pPr>
              <w:spacing w:line="28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艺术</w:t>
            </w:r>
          </w:p>
        </w:tc>
        <w:tc>
          <w:tcPr>
            <w:tcW w:w="66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02" w:type="dxa"/>
            <w:vMerge w:val="continue"/>
            <w:noWrap w:val="0"/>
            <w:vAlign w:val="center"/>
          </w:tcPr>
          <w:p>
            <w:pPr>
              <w:spacing w:line="280" w:lineRule="exact"/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spacing w:line="280" w:lineRule="exact"/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5496" w:type="dxa"/>
            <w:noWrap w:val="0"/>
            <w:vAlign w:val="center"/>
          </w:tcPr>
          <w:p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szCs w:val="21"/>
              </w:rPr>
              <w:t>音乐、舞蹈、美术、艺术设计、艺术学理论、音乐与舞蹈学、戏剧与影视学、美术学、设计学、</w:t>
            </w:r>
          </w:p>
        </w:tc>
        <w:tc>
          <w:tcPr>
            <w:tcW w:w="681" w:type="dxa"/>
            <w:vMerge w:val="continue"/>
            <w:noWrap w:val="0"/>
            <w:vAlign w:val="center"/>
          </w:tcPr>
          <w:p>
            <w:pPr>
              <w:spacing w:line="280" w:lineRule="exact"/>
              <w:rPr>
                <w:color w:val="00000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iOTQ3MzA0NDdhNmI0NzNhOTE5N2ZjM2YxZGRmZGMifQ=="/>
  </w:docVars>
  <w:rsids>
    <w:rsidRoot w:val="00000000"/>
    <w:rsid w:val="34C2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2022-11-10T01:26:47Z</dcterms:created>
  <dc:creator>lx</dc:creator>
  <cp:lastModifiedBy>寧海方英文</cp:lastModifiedBy>
  <dcterms:modified xsi:type="dcterms:W3CDTF">2022-11-10T01:27:48Z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DA6B6E7983AC4514884DDB59CC2BEF92</vt:lpwstr>
  </property>
</Properties>
</file>