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附件1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各学院（部、中心）学生代表人数安排如下：</w:t>
      </w:r>
    </w:p>
    <w:tbl>
      <w:tblPr>
        <w:tblStyle w:val="3"/>
        <w:tblpPr w:leftFromText="180" w:rightFromText="180" w:vertAnchor="text" w:horzAnchor="page" w:tblpX="2070" w:tblpY="344"/>
        <w:tblOverlap w:val="never"/>
        <w:tblW w:w="787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969"/>
        <w:gridCol w:w="18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49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学院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代表人数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49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9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沈钧儒法学院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9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49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49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体育与健康学院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49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49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49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49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材料与化学化工学院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49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49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49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医学部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49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阿里巴巴商学院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49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49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  <w:tc>
          <w:tcPr>
            <w:tcW w:w="49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文化创意学院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</w:t>
            </w:r>
          </w:p>
        </w:tc>
        <w:tc>
          <w:tcPr>
            <w:tcW w:w="49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经亨颐教师教育学院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49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有机硅化学及材料技术实验室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</w:p>
        </w:tc>
        <w:tc>
          <w:tcPr>
            <w:tcW w:w="49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马克思主义学院 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49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  <w:t>弘丰中心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9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A7601"/>
    <w:rsid w:val="528A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2020-12-22T08:29:00Z</dcterms:created>
  <dc:creator>flyyujing163com</dc:creator>
  <cp:lastModifiedBy>flyyujing163com</cp:lastModifiedBy>
  <dcterms:modified xsi:type="dcterms:W3CDTF">2020-12-22T08:29:57Z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