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cs="宋体" w:asciiTheme="minorEastAsia" w:hAnsiTheme="minorEastAsia"/>
          <w:kern w:val="0"/>
          <w:szCs w:val="21"/>
        </w:rPr>
      </w:pPr>
      <w:r>
        <w:rPr>
          <w:rFonts w:hint="eastAsia" w:cs="宋体" w:asciiTheme="minorEastAsia" w:hAnsiTheme="minorEastAsia"/>
          <w:szCs w:val="21"/>
        </w:rPr>
        <w:t>附</w:t>
      </w:r>
      <w:r>
        <w:rPr>
          <w:rFonts w:hint="eastAsia" w:cs="宋体" w:asciiTheme="minorEastAsia" w:hAnsiTheme="minorEastAsia"/>
          <w:kern w:val="0"/>
          <w:szCs w:val="21"/>
        </w:rPr>
        <w:t>件1：</w:t>
      </w:r>
    </w:p>
    <w:p>
      <w:pPr>
        <w:spacing w:line="360" w:lineRule="auto"/>
        <w:ind w:firstLine="562" w:firstLineChars="200"/>
        <w:jc w:val="center"/>
        <w:rPr>
          <w:rFonts w:cs="宋体" w:asciiTheme="minorEastAsia" w:hAnsiTheme="minorEastAsia"/>
          <w:b/>
          <w:bCs/>
          <w:kern w:val="0"/>
          <w:sz w:val="28"/>
          <w:szCs w:val="28"/>
        </w:rPr>
      </w:pPr>
      <w:r>
        <w:rPr>
          <w:rFonts w:hint="eastAsia" w:cs="宋体" w:asciiTheme="minorEastAsia" w:hAnsiTheme="minorEastAsia"/>
          <w:b/>
          <w:bCs/>
          <w:kern w:val="0"/>
          <w:sz w:val="28"/>
          <w:szCs w:val="28"/>
        </w:rPr>
        <w:t>杭州师范大学第三届研究生“沿创·研途人生”创新创业大赛科研类立项课题一览表</w:t>
      </w:r>
    </w:p>
    <w:tbl>
      <w:tblPr>
        <w:tblStyle w:val="4"/>
        <w:tblW w:w="1420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5635"/>
        <w:gridCol w:w="1064"/>
        <w:gridCol w:w="2506"/>
        <w:gridCol w:w="1245"/>
        <w:gridCol w:w="126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2" w:type="dxa"/>
            <w:gridSpan w:val="7"/>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b/>
                <w:bCs/>
                <w:sz w:val="21"/>
                <w:szCs w:val="21"/>
              </w:rPr>
              <w:t>重大课题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编号</w:t>
            </w:r>
          </w:p>
        </w:tc>
        <w:tc>
          <w:tcPr>
            <w:tcW w:w="5635"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课题名称</w:t>
            </w:r>
          </w:p>
        </w:tc>
        <w:tc>
          <w:tcPr>
            <w:tcW w:w="1064"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负责人</w:t>
            </w:r>
          </w:p>
        </w:tc>
        <w:tc>
          <w:tcPr>
            <w:tcW w:w="2506"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所在学院</w:t>
            </w:r>
          </w:p>
        </w:tc>
        <w:tc>
          <w:tcPr>
            <w:tcW w:w="1245"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成果形式</w:t>
            </w:r>
          </w:p>
        </w:tc>
        <w:tc>
          <w:tcPr>
            <w:tcW w:w="1267"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起止时间</w:t>
            </w:r>
          </w:p>
        </w:tc>
        <w:tc>
          <w:tcPr>
            <w:tcW w:w="1100"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8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w:t>
            </w:r>
          </w:p>
        </w:tc>
        <w:tc>
          <w:tcPr>
            <w:tcW w:w="5635" w:type="dxa"/>
            <w:vAlign w:val="center"/>
          </w:tcPr>
          <w:p>
            <w:pPr>
              <w:widowControl/>
              <w:jc w:val="center"/>
              <w:textAlignment w:val="center"/>
              <w:rPr>
                <w:rFonts w:ascii="Times New Roman" w:hAnsi="Times New Roman" w:cs="Times New Roman"/>
                <w:kern w:val="0"/>
                <w:szCs w:val="21"/>
              </w:rPr>
            </w:pPr>
            <w:bookmarkStart w:id="0" w:name="_Hlk44269901"/>
            <w:r>
              <w:rPr>
                <w:rFonts w:ascii="Times New Roman" w:hAnsi="Times New Roman" w:cs="Times New Roman"/>
                <w:kern w:val="0"/>
                <w:szCs w:val="21"/>
              </w:rPr>
              <w:t>基于复杂网络的突发性疾病传播预测及控制模型研究</w:t>
            </w:r>
            <w:bookmarkEnd w:id="0"/>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汪意</w:t>
            </w:r>
          </w:p>
        </w:tc>
        <w:tc>
          <w:tcPr>
            <w:tcW w:w="250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阿里巴巴商学院</w:t>
            </w:r>
          </w:p>
        </w:tc>
        <w:tc>
          <w:tcPr>
            <w:tcW w:w="124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报告、论文</w:t>
            </w:r>
          </w:p>
        </w:tc>
        <w:tc>
          <w:tcPr>
            <w:tcW w:w="1267"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2020.05-2021.05</w:t>
            </w:r>
          </w:p>
        </w:tc>
        <w:tc>
          <w:tcPr>
            <w:tcW w:w="110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8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w:t>
            </w:r>
          </w:p>
        </w:tc>
        <w:tc>
          <w:tcPr>
            <w:tcW w:w="5635"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短视频剧《今天公司倒闭了吗》</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颜倩</w:t>
            </w:r>
          </w:p>
        </w:tc>
        <w:tc>
          <w:tcPr>
            <w:tcW w:w="250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人文学院</w:t>
            </w:r>
          </w:p>
        </w:tc>
        <w:tc>
          <w:tcPr>
            <w:tcW w:w="124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视频上线</w:t>
            </w:r>
          </w:p>
        </w:tc>
        <w:tc>
          <w:tcPr>
            <w:tcW w:w="1267"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2020.05-2021.05</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8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3</w:t>
            </w:r>
          </w:p>
        </w:tc>
        <w:tc>
          <w:tcPr>
            <w:tcW w:w="5635"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杭白菊MicroRNA156参与介导 UV-B诱发黄酮合成的调控机制研究</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程建梅</w:t>
            </w:r>
          </w:p>
        </w:tc>
        <w:tc>
          <w:tcPr>
            <w:tcW w:w="250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生命与环境科学学院</w:t>
            </w:r>
          </w:p>
        </w:tc>
        <w:tc>
          <w:tcPr>
            <w:tcW w:w="124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67"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2020.02-2021.02</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8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4</w:t>
            </w:r>
          </w:p>
        </w:tc>
        <w:tc>
          <w:tcPr>
            <w:tcW w:w="5635"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城市社区医养结合居家养老服务质量评价研究</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沈阳</w:t>
            </w:r>
          </w:p>
        </w:tc>
        <w:tc>
          <w:tcPr>
            <w:tcW w:w="250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医学院</w:t>
            </w:r>
          </w:p>
        </w:tc>
        <w:tc>
          <w:tcPr>
            <w:tcW w:w="124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论文/科研报告</w:t>
            </w:r>
          </w:p>
        </w:tc>
        <w:tc>
          <w:tcPr>
            <w:tcW w:w="1267"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2020.04-2020.10</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8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5</w:t>
            </w:r>
          </w:p>
        </w:tc>
        <w:tc>
          <w:tcPr>
            <w:tcW w:w="5635"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榄香烯通过靶向肺癌Warburg效应增强NK细胞免疫活性的分子机制研究</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宋高谦</w:t>
            </w:r>
          </w:p>
        </w:tc>
        <w:tc>
          <w:tcPr>
            <w:tcW w:w="250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医学院</w:t>
            </w:r>
          </w:p>
        </w:tc>
        <w:tc>
          <w:tcPr>
            <w:tcW w:w="124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学术论文</w:t>
            </w:r>
          </w:p>
        </w:tc>
        <w:tc>
          <w:tcPr>
            <w:tcW w:w="1267"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2020.04-2020.11</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8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6</w:t>
            </w:r>
          </w:p>
        </w:tc>
        <w:tc>
          <w:tcPr>
            <w:tcW w:w="5635"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知识的生产者：综合实践活动课程中学生的角色研究</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张馨月</w:t>
            </w:r>
          </w:p>
        </w:tc>
        <w:tc>
          <w:tcPr>
            <w:tcW w:w="250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教育学院</w:t>
            </w:r>
          </w:p>
        </w:tc>
        <w:tc>
          <w:tcPr>
            <w:tcW w:w="1245"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67"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2020.03-2021.01</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3000元</w:t>
            </w:r>
          </w:p>
        </w:tc>
      </w:tr>
    </w:tbl>
    <w:p>
      <w:pPr>
        <w:rPr>
          <w:rFonts w:ascii="Times New Roman" w:hAnsi="Times New Roman" w:cs="Times New Roman"/>
          <w:szCs w:val="21"/>
        </w:rPr>
      </w:pPr>
    </w:p>
    <w:tbl>
      <w:tblPr>
        <w:tblStyle w:val="4"/>
        <w:tblW w:w="1424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5740"/>
        <w:gridCol w:w="1064"/>
        <w:gridCol w:w="2476"/>
        <w:gridCol w:w="1260"/>
        <w:gridCol w:w="125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42" w:type="dxa"/>
            <w:gridSpan w:val="7"/>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b/>
                <w:bCs/>
                <w:sz w:val="21"/>
                <w:szCs w:val="21"/>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0"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课题编号</w:t>
            </w:r>
          </w:p>
        </w:tc>
        <w:tc>
          <w:tcPr>
            <w:tcW w:w="5740"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课题名称</w:t>
            </w:r>
          </w:p>
        </w:tc>
        <w:tc>
          <w:tcPr>
            <w:tcW w:w="1064"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负责人</w:t>
            </w:r>
          </w:p>
        </w:tc>
        <w:tc>
          <w:tcPr>
            <w:tcW w:w="2476"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所在学院</w:t>
            </w:r>
          </w:p>
        </w:tc>
        <w:tc>
          <w:tcPr>
            <w:tcW w:w="1260"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成果形式</w:t>
            </w:r>
          </w:p>
        </w:tc>
        <w:tc>
          <w:tcPr>
            <w:tcW w:w="1252"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起止时间</w:t>
            </w:r>
          </w:p>
        </w:tc>
        <w:tc>
          <w:tcPr>
            <w:tcW w:w="1110"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w:t>
            </w:r>
          </w:p>
        </w:tc>
        <w:tc>
          <w:tcPr>
            <w:tcW w:w="5740"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基于汽车OBD和人体识别技术的智能防闷死预警系统</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程涛</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杭州国际服务程工程</w:t>
            </w:r>
          </w:p>
        </w:tc>
        <w:tc>
          <w:tcPr>
            <w:tcW w:w="126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专利</w:t>
            </w:r>
          </w:p>
        </w:tc>
        <w:tc>
          <w:tcPr>
            <w:tcW w:w="1252"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2020.03-2021.03</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w:t>
            </w:r>
          </w:p>
        </w:tc>
        <w:tc>
          <w:tcPr>
            <w:tcW w:w="5740"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家校合作背景下家长参与子女教育的问题与对策研究</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蔡艺玮</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教育学院</w:t>
            </w:r>
          </w:p>
        </w:tc>
        <w:tc>
          <w:tcPr>
            <w:tcW w:w="126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研究报告、学术论文</w:t>
            </w:r>
          </w:p>
        </w:tc>
        <w:tc>
          <w:tcPr>
            <w:tcW w:w="1252"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2020.03-2021.03</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3</w:t>
            </w:r>
          </w:p>
        </w:tc>
        <w:tc>
          <w:tcPr>
            <w:tcW w:w="5740"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城市社区公共危机治理中基层工会服务管理创新研究——以杭州市江干区凯旋街道为例</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余杰</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经济与管理学院</w:t>
            </w:r>
          </w:p>
        </w:tc>
        <w:tc>
          <w:tcPr>
            <w:tcW w:w="1260" w:type="dxa"/>
            <w:vAlign w:val="center"/>
          </w:tcPr>
          <w:p>
            <w:pPr>
              <w:pStyle w:val="2"/>
              <w:widowControl/>
              <w:spacing w:beforeAutospacing="0" w:afterAutospacing="0" w:line="270" w:lineRule="atLeast"/>
              <w:jc w:val="center"/>
              <w:rPr>
                <w:rFonts w:ascii="Times New Roman" w:hAnsi="Times New Roman" w:eastAsia="宋体"/>
                <w:color w:val="000000"/>
                <w:sz w:val="21"/>
                <w:szCs w:val="21"/>
                <w:lang w:bidi="ar"/>
              </w:rPr>
            </w:pPr>
            <w:r>
              <w:rPr>
                <w:rFonts w:ascii="Times New Roman" w:hAnsi="Times New Roman" w:eastAsia="宋体"/>
                <w:color w:val="000000"/>
                <w:sz w:val="21"/>
                <w:szCs w:val="21"/>
                <w:lang w:bidi="ar"/>
              </w:rPr>
              <w:t>调研报告</w:t>
            </w:r>
          </w:p>
        </w:tc>
        <w:tc>
          <w:tcPr>
            <w:tcW w:w="1252"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2020.05-2020.12</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4</w:t>
            </w:r>
          </w:p>
        </w:tc>
        <w:tc>
          <w:tcPr>
            <w:tcW w:w="5740"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房价与城乡收入差距的双向反馈效应研究——基于省域面板数据的实证分析</w:t>
            </w:r>
          </w:p>
        </w:tc>
        <w:tc>
          <w:tcPr>
            <w:tcW w:w="1064"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张增辉</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经济与管理学院</w:t>
            </w:r>
          </w:p>
        </w:tc>
        <w:tc>
          <w:tcPr>
            <w:tcW w:w="126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研究报告/学术论文</w:t>
            </w:r>
          </w:p>
        </w:tc>
        <w:tc>
          <w:tcPr>
            <w:tcW w:w="1252"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2020.04-2021.01</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5</w:t>
            </w:r>
          </w:p>
        </w:tc>
        <w:tc>
          <w:tcPr>
            <w:tcW w:w="57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一种化学辅助强化生物除磷技术</w:t>
            </w:r>
          </w:p>
        </w:tc>
        <w:tc>
          <w:tcPr>
            <w:tcW w:w="1064" w:type="dxa"/>
            <w:vAlign w:val="center"/>
          </w:tcPr>
          <w:p>
            <w:pPr>
              <w:widowControl/>
              <w:jc w:val="center"/>
              <w:textAlignment w:val="bottom"/>
              <w:rPr>
                <w:rFonts w:ascii="Times New Roman" w:hAnsi="Times New Roman" w:cs="Times New Roman"/>
                <w:kern w:val="0"/>
                <w:szCs w:val="21"/>
              </w:rPr>
            </w:pPr>
            <w:r>
              <w:rPr>
                <w:rFonts w:ascii="Times New Roman" w:hAnsi="Times New Roman" w:cs="Times New Roman"/>
                <w:kern w:val="0"/>
                <w:szCs w:val="21"/>
              </w:rPr>
              <w:t>夏雯静</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生命与环境科学学院</w:t>
            </w:r>
          </w:p>
        </w:tc>
        <w:tc>
          <w:tcPr>
            <w:tcW w:w="126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52"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2020.04-2021.11</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6</w:t>
            </w:r>
          </w:p>
        </w:tc>
        <w:tc>
          <w:tcPr>
            <w:tcW w:w="57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慢性疼痛健康素养测评工具的构建与信效度测评</w:t>
            </w:r>
          </w:p>
        </w:tc>
        <w:tc>
          <w:tcPr>
            <w:tcW w:w="1064" w:type="dxa"/>
            <w:vAlign w:val="center"/>
          </w:tcPr>
          <w:p>
            <w:pPr>
              <w:widowControl/>
              <w:jc w:val="center"/>
              <w:textAlignment w:val="bottom"/>
              <w:rPr>
                <w:rFonts w:ascii="Times New Roman" w:hAnsi="Times New Roman" w:cs="Times New Roman"/>
                <w:kern w:val="0"/>
                <w:szCs w:val="21"/>
              </w:rPr>
            </w:pPr>
            <w:r>
              <w:rPr>
                <w:rFonts w:ascii="Times New Roman" w:hAnsi="Times New Roman" w:cs="Times New Roman"/>
                <w:kern w:val="0"/>
                <w:szCs w:val="21"/>
              </w:rPr>
              <w:t>陈思晴</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医学院</w:t>
            </w:r>
          </w:p>
        </w:tc>
        <w:tc>
          <w:tcPr>
            <w:tcW w:w="126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52"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2020.03-2021.05</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7</w:t>
            </w:r>
          </w:p>
        </w:tc>
        <w:tc>
          <w:tcPr>
            <w:tcW w:w="574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重组人神经突起生长因子通过促进带状突触再生改善噪声性耳聋的作用及机制研究</w:t>
            </w:r>
          </w:p>
        </w:tc>
        <w:tc>
          <w:tcPr>
            <w:tcW w:w="1064" w:type="dxa"/>
            <w:vAlign w:val="center"/>
          </w:tcPr>
          <w:p>
            <w:pPr>
              <w:widowControl/>
              <w:jc w:val="center"/>
              <w:textAlignment w:val="bottom"/>
              <w:rPr>
                <w:rFonts w:ascii="Times New Roman" w:hAnsi="Times New Roman" w:cs="Times New Roman"/>
                <w:kern w:val="0"/>
                <w:szCs w:val="21"/>
              </w:rPr>
            </w:pPr>
            <w:r>
              <w:rPr>
                <w:rFonts w:ascii="Times New Roman" w:hAnsi="Times New Roman" w:cs="Times New Roman"/>
                <w:kern w:val="0"/>
                <w:szCs w:val="21"/>
              </w:rPr>
              <w:t>刘双燕</w:t>
            </w:r>
          </w:p>
        </w:tc>
        <w:tc>
          <w:tcPr>
            <w:tcW w:w="2476" w:type="dxa"/>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医学院</w:t>
            </w:r>
          </w:p>
        </w:tc>
        <w:tc>
          <w:tcPr>
            <w:tcW w:w="126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52" w:type="dxa"/>
            <w:vAlign w:val="center"/>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sz w:val="21"/>
                <w:szCs w:val="21"/>
              </w:rPr>
              <w:t>2020.04-2021.12</w:t>
            </w:r>
          </w:p>
        </w:tc>
        <w:tc>
          <w:tcPr>
            <w:tcW w:w="111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2000元</w:t>
            </w:r>
          </w:p>
        </w:tc>
      </w:tr>
    </w:tbl>
    <w:p>
      <w:pPr>
        <w:jc w:val="center"/>
        <w:rPr>
          <w:rFonts w:ascii="Times New Roman" w:hAnsi="Times New Roman" w:cs="Times New Roman"/>
          <w:szCs w:val="21"/>
        </w:rPr>
      </w:pPr>
    </w:p>
    <w:tbl>
      <w:tblPr>
        <w:tblStyle w:val="4"/>
        <w:tblW w:w="142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5813"/>
        <w:gridCol w:w="1064"/>
        <w:gridCol w:w="2458"/>
        <w:gridCol w:w="1276"/>
        <w:gridCol w:w="122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49" w:type="dxa"/>
            <w:gridSpan w:val="7"/>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14"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课题编号</w:t>
            </w:r>
          </w:p>
        </w:tc>
        <w:tc>
          <w:tcPr>
            <w:tcW w:w="5813"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课题名称</w:t>
            </w:r>
          </w:p>
        </w:tc>
        <w:tc>
          <w:tcPr>
            <w:tcW w:w="1064"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负责人</w:t>
            </w:r>
          </w:p>
        </w:tc>
        <w:tc>
          <w:tcPr>
            <w:tcW w:w="2458"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所在学院</w:t>
            </w:r>
          </w:p>
        </w:tc>
        <w:tc>
          <w:tcPr>
            <w:tcW w:w="1276"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成果形式</w:t>
            </w:r>
          </w:p>
        </w:tc>
        <w:tc>
          <w:tcPr>
            <w:tcW w:w="1224"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起止时间</w:t>
            </w:r>
          </w:p>
        </w:tc>
        <w:tc>
          <w:tcPr>
            <w:tcW w:w="1100" w:type="dxa"/>
          </w:tcPr>
          <w:p>
            <w:pPr>
              <w:pStyle w:val="2"/>
              <w:widowControl/>
              <w:spacing w:beforeAutospacing="0" w:afterAutospacing="0" w:line="270" w:lineRule="atLeast"/>
              <w:jc w:val="center"/>
              <w:rPr>
                <w:rFonts w:ascii="Times New Roman" w:hAnsi="Times New Roman"/>
                <w:b/>
                <w:bCs/>
                <w:sz w:val="21"/>
                <w:szCs w:val="21"/>
              </w:rPr>
            </w:pPr>
            <w:r>
              <w:rPr>
                <w:rFonts w:ascii="Times New Roman" w:hAnsi="Times New Roman"/>
                <w:b/>
                <w:bCs/>
                <w:sz w:val="21"/>
                <w:szCs w:val="21"/>
              </w:rPr>
              <w:t>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w:t>
            </w:r>
          </w:p>
        </w:tc>
        <w:tc>
          <w:tcPr>
            <w:tcW w:w="58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基于UTAUT2模型的新零售消费者接受行为研究——以杭州市为例</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俞金君</w:t>
            </w:r>
          </w:p>
        </w:tc>
        <w:tc>
          <w:tcPr>
            <w:tcW w:w="24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阿里巴巴学院</w:t>
            </w:r>
          </w:p>
        </w:tc>
        <w:tc>
          <w:tcPr>
            <w:tcW w:w="1276"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研究报告</w:t>
            </w:r>
          </w:p>
        </w:tc>
        <w:tc>
          <w:tcPr>
            <w:tcW w:w="122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2020.03-2021.03</w:t>
            </w:r>
          </w:p>
        </w:tc>
        <w:tc>
          <w:tcPr>
            <w:tcW w:w="1100"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基于复杂网络和机器学习的肿瘤个体突变分类</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韩震</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阿里巴巴学院</w:t>
            </w:r>
          </w:p>
        </w:tc>
        <w:tc>
          <w:tcPr>
            <w:tcW w:w="1276"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论文/专利</w:t>
            </w:r>
          </w:p>
        </w:tc>
        <w:tc>
          <w:tcPr>
            <w:tcW w:w="122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2020.03-2020.12</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3</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基于公司各员工的评价对公司发展的研究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潘潇</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阿里巴巴学院</w:t>
            </w:r>
          </w:p>
        </w:tc>
        <w:tc>
          <w:tcPr>
            <w:tcW w:w="1276"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2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2019.11-2020.07</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4</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“新经济”的界定与关键指标</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王红利</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阿里巴巴学院</w:t>
            </w:r>
          </w:p>
        </w:tc>
        <w:tc>
          <w:tcPr>
            <w:tcW w:w="1276"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2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2019.11-2020.09</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5</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基质固相分散微萃取法提取温郁金中的有效成分</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陈嫣</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材料与化学化工学院</w:t>
            </w:r>
          </w:p>
        </w:tc>
        <w:tc>
          <w:tcPr>
            <w:tcW w:w="1276"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论文</w:t>
            </w:r>
          </w:p>
        </w:tc>
        <w:tc>
          <w:tcPr>
            <w:tcW w:w="122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2020.03-2020.10</w:t>
            </w:r>
          </w:p>
        </w:tc>
        <w:tc>
          <w:tcPr>
            <w:tcW w:w="1100" w:type="dxa"/>
            <w:vAlign w:val="center"/>
          </w:tcPr>
          <w:p>
            <w:pPr>
              <w:widowControl/>
              <w:spacing w:line="270" w:lineRule="atLeast"/>
              <w:jc w:val="center"/>
              <w:rPr>
                <w:rFonts w:ascii="Times New Roman" w:hAnsi="Times New Roman" w:cs="Times New Roman"/>
                <w:szCs w:val="21"/>
              </w:rPr>
            </w:pPr>
            <w:r>
              <w:rPr>
                <w:rFonts w:ascii="Times New Roman" w:hAnsi="Times New Roman" w:cs="Times New Roman"/>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6</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石斛中农残的高灵敏度富集检测方法</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甄晓婷</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材料与化学化工学院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020.04-2020.11</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7</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气体动力学</w:t>
            </w:r>
            <w:r>
              <w:rPr>
                <w:rFonts w:cs="宋体" w:asciiTheme="minorEastAsia" w:hAnsiTheme="minorEastAsia"/>
                <w:sz w:val="21"/>
                <w:szCs w:val="21"/>
              </w:rPr>
              <w:t>Euler</w:t>
            </w:r>
            <w:r>
              <w:rPr>
                <w:rFonts w:hint="eastAsia" w:cs="宋体" w:asciiTheme="minorEastAsia" w:hAnsiTheme="minorEastAsia"/>
                <w:sz w:val="21"/>
                <w:szCs w:val="21"/>
              </w:rPr>
              <w:t>方程组的研究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宋慧娟</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理学院</w:t>
            </w:r>
          </w:p>
        </w:tc>
        <w:tc>
          <w:tcPr>
            <w:tcW w:w="1276" w:type="dxa"/>
            <w:vAlign w:val="center"/>
          </w:tcPr>
          <w:p>
            <w:pPr>
              <w:pStyle w:val="2"/>
              <w:widowControl/>
              <w:spacing w:beforeAutospacing="0" w:afterAutospacing="0" w:line="270" w:lineRule="atLeast"/>
              <w:jc w:val="center"/>
              <w:rPr>
                <w:rFonts w:ascii="宋体" w:hAnsi="宋体" w:eastAsia="宋体" w:cs="宋体"/>
                <w:color w:val="000000"/>
                <w:sz w:val="21"/>
                <w:szCs w:val="21"/>
                <w:lang w:bidi="ar"/>
              </w:rPr>
            </w:pPr>
            <w:r>
              <w:rPr>
                <w:rFonts w:hint="eastAsia" w:ascii="宋体" w:hAnsi="宋体" w:eastAsia="宋体" w:cs="宋体"/>
                <w:color w:val="000000"/>
                <w:sz w:val="21"/>
                <w:szCs w:val="21"/>
                <w:lang w:bidi="ar"/>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019.04-2020.02</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8</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基于</w:t>
            </w:r>
            <w:r>
              <w:rPr>
                <w:rFonts w:cs="宋体" w:asciiTheme="minorEastAsia" w:hAnsiTheme="minorEastAsia"/>
                <w:sz w:val="21"/>
                <w:szCs w:val="21"/>
              </w:rPr>
              <w:t>“</w:t>
            </w:r>
            <w:r>
              <w:rPr>
                <w:rFonts w:hint="eastAsia" w:cs="宋体" w:asciiTheme="minorEastAsia" w:hAnsiTheme="minorEastAsia"/>
                <w:sz w:val="21"/>
                <w:szCs w:val="21"/>
              </w:rPr>
              <w:t>文化本位</w:t>
            </w:r>
            <w:r>
              <w:rPr>
                <w:rFonts w:cs="宋体" w:asciiTheme="minorEastAsia" w:hAnsiTheme="minorEastAsia"/>
                <w:sz w:val="21"/>
                <w:szCs w:val="21"/>
              </w:rPr>
              <w:t>”</w:t>
            </w:r>
            <w:r>
              <w:rPr>
                <w:rFonts w:hint="eastAsia" w:cs="宋体" w:asciiTheme="minorEastAsia" w:hAnsiTheme="minorEastAsia"/>
                <w:sz w:val="21"/>
                <w:szCs w:val="21"/>
              </w:rPr>
              <w:t>的文言文语言教学研究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蒋丹馨</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人文学院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020.03-2020.10</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9</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以创造力培养为中心的中学科幻教学策略研究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熊旭萍</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生命与环境科学学院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研究论文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020.04-2021.05</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10</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数字化文创产业创新创业的现状与发展研究</w:t>
            </w:r>
            <w:r>
              <w:rPr>
                <w:rFonts w:cs="宋体" w:asciiTheme="minorEastAsia" w:hAnsiTheme="minorEastAsia"/>
                <w:sz w:val="21"/>
                <w:szCs w:val="21"/>
              </w:rPr>
              <w:t>——</w:t>
            </w:r>
            <w:r>
              <w:rPr>
                <w:rFonts w:hint="eastAsia" w:cs="宋体" w:asciiTheme="minorEastAsia" w:hAnsiTheme="minorEastAsia"/>
                <w:sz w:val="21"/>
                <w:szCs w:val="21"/>
              </w:rPr>
              <w:t>以在杭大学生为例</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洪梓琳</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文化创意学院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020.04-2021.05</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11</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优质旅游背景下浙江古村落传统文化旅游价值重构及其实现路径研究</w:t>
            </w:r>
            <w:r>
              <w:rPr>
                <w:rFonts w:cs="宋体" w:asciiTheme="minorEastAsia" w:hAnsiTheme="minorEastAsia"/>
                <w:sz w:val="21"/>
                <w:szCs w:val="21"/>
              </w:rPr>
              <w:t>——</w:t>
            </w:r>
            <w:r>
              <w:rPr>
                <w:rFonts w:hint="eastAsia" w:cs="宋体" w:asciiTheme="minorEastAsia" w:hAnsiTheme="minorEastAsia"/>
                <w:sz w:val="21"/>
                <w:szCs w:val="21"/>
              </w:rPr>
              <w:t>以历史文化名村蒿溪村为例</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骆梦柯</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文化创意学院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020.04-2021.04</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12</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世外桃源</w:t>
            </w:r>
            <w:r>
              <w:rPr>
                <w:rFonts w:cs="宋体" w:asciiTheme="minorEastAsia" w:hAnsiTheme="minorEastAsia"/>
                <w:sz w:val="21"/>
                <w:szCs w:val="21"/>
              </w:rPr>
              <w:t>——</w:t>
            </w:r>
            <w:r>
              <w:rPr>
                <w:rFonts w:hint="eastAsia" w:cs="宋体" w:asciiTheme="minorEastAsia" w:hAnsiTheme="minorEastAsia"/>
                <w:sz w:val="21"/>
                <w:szCs w:val="21"/>
              </w:rPr>
              <w:t>电商业态下的乡村振兴</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张国庆</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文化创意学院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020.04-2021.04</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13</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抗功耗攻击的密码芯片电路级防护研究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李聪辉</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信息科学与工程学院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020.04-2021.04</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14</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以家庭为中心的协同护理模式对失智症照护者负担效果研究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胡紫燕</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020.05-2021.05</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15</w:t>
            </w:r>
          </w:p>
        </w:tc>
        <w:tc>
          <w:tcPr>
            <w:tcW w:w="5813" w:type="dxa"/>
            <w:tcBorders>
              <w:top w:val="nil"/>
              <w:left w:val="single" w:color="auto" w:sz="4" w:space="0"/>
              <w:bottom w:val="single" w:color="auto" w:sz="4" w:space="0"/>
              <w:right w:val="single" w:color="auto" w:sz="4" w:space="0"/>
            </w:tcBorders>
            <w:shd w:val="clear" w:color="auto" w:fill="auto"/>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肿瘤细胞活性小分子释放监测及药物筛选应用</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蒋敏</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020.03-2020.11</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ascii="Times New Roman" w:hAnsi="Times New Roman"/>
                <w:sz w:val="21"/>
                <w:szCs w:val="21"/>
              </w:rPr>
            </w:pPr>
            <w:r>
              <w:rPr>
                <w:rFonts w:ascii="Times New Roman" w:hAnsi="Times New Roman"/>
                <w:sz w:val="21"/>
                <w:szCs w:val="21"/>
              </w:rPr>
              <w:t>16</w:t>
            </w:r>
          </w:p>
        </w:tc>
        <w:tc>
          <w:tcPr>
            <w:tcW w:w="581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端粒蛋白</w:t>
            </w:r>
            <w:r>
              <w:rPr>
                <w:rFonts w:cs="宋体" w:asciiTheme="minorEastAsia" w:hAnsiTheme="minorEastAsia"/>
                <w:kern w:val="0"/>
                <w:szCs w:val="21"/>
              </w:rPr>
              <w:t>TPP1</w:t>
            </w:r>
            <w:r>
              <w:rPr>
                <w:rFonts w:hint="eastAsia" w:cs="宋体" w:asciiTheme="minorEastAsia" w:hAnsiTheme="minorEastAsia"/>
                <w:kern w:val="0"/>
                <w:szCs w:val="21"/>
              </w:rPr>
              <w:t>的互作机制研究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梁超亚</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期刊文章</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020.05-2020.11</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7</w:t>
            </w:r>
          </w:p>
        </w:tc>
        <w:tc>
          <w:tcPr>
            <w:tcW w:w="581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脑卒中患者病耻感及应对方式与护理依赖结构方程模型的构建</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章琛越</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论文、模型</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020.05-2021.05</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8</w:t>
            </w:r>
          </w:p>
        </w:tc>
        <w:tc>
          <w:tcPr>
            <w:tcW w:w="581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移动医疗服务患者信任影响因素与提升策略研究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周颖</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学术论文或调研报告</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020.04-2021.05</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1</w:t>
            </w:r>
            <w:r>
              <w:rPr>
                <w:rFonts w:cs="宋体" w:asciiTheme="minorEastAsia" w:hAnsiTheme="minorEastAsia"/>
                <w:sz w:val="21"/>
                <w:szCs w:val="21"/>
              </w:rPr>
              <w:t>9</w:t>
            </w:r>
          </w:p>
        </w:tc>
        <w:tc>
          <w:tcPr>
            <w:tcW w:w="581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职业人群的运动及运动风险现状与</w:t>
            </w:r>
            <w:r>
              <w:rPr>
                <w:rFonts w:cs="宋体" w:asciiTheme="minorEastAsia" w:hAnsiTheme="minorEastAsia"/>
                <w:kern w:val="0"/>
                <w:szCs w:val="21"/>
              </w:rPr>
              <w:t xml:space="preserve"> </w:t>
            </w:r>
            <w:r>
              <w:rPr>
                <w:rFonts w:hint="eastAsia" w:cs="宋体" w:asciiTheme="minorEastAsia" w:hAnsiTheme="minorEastAsia"/>
                <w:kern w:val="0"/>
                <w:szCs w:val="21"/>
              </w:rPr>
              <w:t>健康管理对策研究</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李晨辉</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学术论文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020.04-2020.11</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2</w:t>
            </w:r>
            <w:r>
              <w:rPr>
                <w:rFonts w:cs="宋体" w:asciiTheme="minorEastAsia" w:hAnsiTheme="minorEastAsia"/>
                <w:sz w:val="21"/>
                <w:szCs w:val="21"/>
              </w:rPr>
              <w:t>0</w:t>
            </w:r>
          </w:p>
        </w:tc>
        <w:tc>
          <w:tcPr>
            <w:tcW w:w="581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微信运动介导下大学生体育锻炼影响因素研究及中介效应分析</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王朦朦</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医学院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020.03-2020.10</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14"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2</w:t>
            </w:r>
            <w:r>
              <w:rPr>
                <w:rFonts w:cs="宋体" w:asciiTheme="minorEastAsia" w:hAnsiTheme="minorEastAsia"/>
                <w:sz w:val="21"/>
                <w:szCs w:val="21"/>
              </w:rPr>
              <w:t>1</w:t>
            </w:r>
          </w:p>
        </w:tc>
        <w:tc>
          <w:tcPr>
            <w:tcW w:w="5813"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社区服务生态链项目</w:t>
            </w:r>
          </w:p>
        </w:tc>
        <w:tc>
          <w:tcPr>
            <w:tcW w:w="106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刘洋</w:t>
            </w:r>
          </w:p>
        </w:tc>
        <w:tc>
          <w:tcPr>
            <w:tcW w:w="24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kern w:val="0"/>
                <w:szCs w:val="21"/>
              </w:rPr>
            </w:pPr>
            <w:r>
              <w:rPr>
                <w:rFonts w:hint="eastAsia" w:cs="宋体" w:asciiTheme="minorEastAsia" w:hAnsiTheme="minorEastAsia"/>
                <w:kern w:val="0"/>
                <w:szCs w:val="21"/>
              </w:rPr>
              <w:t>艺术教育研究院</w:t>
            </w:r>
          </w:p>
        </w:tc>
        <w:tc>
          <w:tcPr>
            <w:tcW w:w="1276" w:type="dxa"/>
            <w:vAlign w:val="center"/>
          </w:tcPr>
          <w:p>
            <w:pPr>
              <w:pStyle w:val="2"/>
              <w:widowControl/>
              <w:spacing w:beforeAutospacing="0" w:afterAutospacing="0" w:line="270" w:lineRule="atLeast"/>
              <w:jc w:val="center"/>
              <w:rPr>
                <w:rFonts w:cs="宋体" w:asciiTheme="minorEastAsia" w:hAnsiTheme="minorEastAsia"/>
                <w:sz w:val="21"/>
                <w:szCs w:val="21"/>
              </w:rPr>
            </w:pPr>
            <w:r>
              <w:rPr>
                <w:rFonts w:hint="eastAsia" w:cs="宋体" w:asciiTheme="minorEastAsia" w:hAnsiTheme="minorEastAsia"/>
                <w:sz w:val="21"/>
                <w:szCs w:val="21"/>
              </w:rPr>
              <w:t>论文</w:t>
            </w:r>
          </w:p>
        </w:tc>
        <w:tc>
          <w:tcPr>
            <w:tcW w:w="1224" w:type="dxa"/>
            <w:vAlign w:val="center"/>
          </w:tcPr>
          <w:p>
            <w:pPr>
              <w:pStyle w:val="2"/>
              <w:widowControl/>
              <w:spacing w:beforeAutospacing="0" w:afterAutospacing="0" w:line="270" w:lineRule="atLeast"/>
              <w:jc w:val="center"/>
              <w:rPr>
                <w:sz w:val="21"/>
                <w:szCs w:val="21"/>
              </w:rPr>
            </w:pPr>
            <w:r>
              <w:rPr>
                <w:rFonts w:hint="eastAsia"/>
                <w:sz w:val="21"/>
                <w:szCs w:val="21"/>
              </w:rPr>
              <w:t>2</w:t>
            </w:r>
            <w:r>
              <w:rPr>
                <w:sz w:val="21"/>
                <w:szCs w:val="21"/>
              </w:rPr>
              <w:t>020.05-2021.05</w:t>
            </w:r>
          </w:p>
        </w:tc>
        <w:tc>
          <w:tcPr>
            <w:tcW w:w="1100" w:type="dxa"/>
            <w:vAlign w:val="center"/>
          </w:tcPr>
          <w:p>
            <w:pPr>
              <w:widowControl/>
              <w:spacing w:line="270" w:lineRule="atLeast"/>
              <w:jc w:val="center"/>
              <w:rPr>
                <w:rFonts w:cs="宋体" w:asciiTheme="minorEastAsia" w:hAnsiTheme="minorEastAsia"/>
                <w:szCs w:val="21"/>
              </w:rPr>
            </w:pPr>
            <w:r>
              <w:rPr>
                <w:rFonts w:hint="eastAsia" w:cs="宋体" w:asciiTheme="minorEastAsia" w:hAnsiTheme="minorEastAsia"/>
                <w:szCs w:val="21"/>
              </w:rPr>
              <w:t>1000元</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F7097"/>
    <w:rsid w:val="186F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2020-06-29T09:06:00Z</dcterms:created>
  <dc:creator>flyyujing163com</dc:creator>
  <cp:lastModifiedBy>flyyujing163com</cp:lastModifiedBy>
  <dcterms:modified xsi:type="dcterms:W3CDTF">2020-06-29T09:06:52Z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