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sz w:val="21"/>
          <w:szCs w:val="21"/>
          <w:lang w:eastAsia="zh-CN"/>
        </w:rPr>
        <w:t>附</w:t>
      </w:r>
      <w:r>
        <w:rPr>
          <w:rFonts w:hint="eastAsia" w:cs="宋体" w:asciiTheme="minorEastAsia" w:hAnsiTheme="minorEastAsia" w:eastAsiaTheme="minorEastAsia"/>
          <w:kern w:val="0"/>
          <w:sz w:val="21"/>
          <w:szCs w:val="21"/>
          <w:lang w:val="en-US" w:eastAsia="zh-CN" w:bidi="ar-SA"/>
        </w:rPr>
        <w:t>件</w:t>
      </w:r>
      <w:r>
        <w:rPr>
          <w:rFonts w:hint="eastAsia" w:cs="宋体" w:asciiTheme="minorEastAsia" w:hAnsiTheme="minorEastAsia"/>
          <w:kern w:val="0"/>
          <w:sz w:val="21"/>
          <w:szCs w:val="21"/>
          <w:lang w:val="en-US" w:eastAsia="zh-CN" w:bidi="ar-SA"/>
        </w:rPr>
        <w:t>1</w:t>
      </w:r>
      <w:r>
        <w:rPr>
          <w:rFonts w:hint="eastAsia" w:cs="宋体" w:asciiTheme="minorEastAsia" w:hAnsiTheme="minorEastAsia" w:eastAsiaTheme="minorEastAsia"/>
          <w:kern w:val="0"/>
          <w:sz w:val="21"/>
          <w:szCs w:val="21"/>
          <w:lang w:val="en-US" w:eastAsia="zh-CN" w:bidi="ar-SA"/>
        </w:rPr>
        <w:t>：</w:t>
      </w:r>
    </w:p>
    <w:p>
      <w:pPr>
        <w:spacing w:line="360" w:lineRule="auto"/>
        <w:ind w:firstLine="562" w:firstLineChars="200"/>
        <w:jc w:val="center"/>
        <w:rPr>
          <w:rFonts w:hint="eastAsia" w:cs="宋体" w:asciiTheme="minorEastAsia" w:hAnsiTheme="minorEastAsia" w:eastAsiaTheme="minorEastAsia"/>
          <w:b/>
          <w:bCs/>
          <w:kern w:val="0"/>
          <w:sz w:val="28"/>
          <w:szCs w:val="28"/>
          <w:lang w:val="en-US" w:eastAsia="zh-CN" w:bidi="ar-SA"/>
        </w:rPr>
      </w:pPr>
      <w:bookmarkStart w:id="0" w:name="_GoBack"/>
      <w:r>
        <w:rPr>
          <w:rFonts w:hint="eastAsia" w:cs="宋体" w:asciiTheme="minorEastAsia" w:hAnsiTheme="minorEastAsia" w:eastAsiaTheme="minorEastAsia"/>
          <w:b/>
          <w:bCs/>
          <w:kern w:val="0"/>
          <w:sz w:val="28"/>
          <w:szCs w:val="28"/>
          <w:lang w:val="en-US" w:eastAsia="zh-CN" w:bidi="ar-SA"/>
        </w:rPr>
        <w:t>杭州师范大学第</w:t>
      </w:r>
      <w:r>
        <w:rPr>
          <w:rFonts w:hint="eastAsia" w:cs="宋体" w:asciiTheme="minorEastAsia" w:hAnsiTheme="minorEastAsia"/>
          <w:b/>
          <w:bCs/>
          <w:kern w:val="0"/>
          <w:sz w:val="28"/>
          <w:szCs w:val="28"/>
          <w:lang w:val="en-US" w:eastAsia="zh-CN" w:bidi="ar-SA"/>
        </w:rPr>
        <w:t>二</w:t>
      </w:r>
      <w:r>
        <w:rPr>
          <w:rFonts w:hint="eastAsia" w:cs="宋体" w:asciiTheme="minorEastAsia" w:hAnsiTheme="minorEastAsia" w:eastAsiaTheme="minorEastAsia"/>
          <w:b/>
          <w:bCs/>
          <w:kern w:val="0"/>
          <w:sz w:val="28"/>
          <w:szCs w:val="28"/>
          <w:lang w:val="en-US" w:eastAsia="zh-CN" w:bidi="ar-SA"/>
        </w:rPr>
        <w:t>届研究生“沿创·研途人生”创新创业大赛科研类立项课题一览表</w:t>
      </w:r>
    </w:p>
    <w:bookmarkEnd w:id="0"/>
    <w:tbl>
      <w:tblPr>
        <w:tblStyle w:val="4"/>
        <w:tblW w:w="1420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5635"/>
        <w:gridCol w:w="1064"/>
        <w:gridCol w:w="2506"/>
        <w:gridCol w:w="1245"/>
        <w:gridCol w:w="1267"/>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02" w:type="dxa"/>
            <w:gridSpan w:val="7"/>
          </w:tcPr>
          <w:p>
            <w:pPr>
              <w:pStyle w:val="2"/>
              <w:widowControl/>
              <w:spacing w:beforeAutospacing="0" w:afterAutospacing="0" w:line="270" w:lineRule="atLeast"/>
              <w:jc w:val="center"/>
              <w:rPr>
                <w:rFonts w:hint="eastAsia" w:cs="宋体" w:asciiTheme="minorEastAsia" w:hAnsiTheme="minorEastAsia" w:eastAsiaTheme="minorEastAsia"/>
                <w:sz w:val="21"/>
                <w:szCs w:val="21"/>
                <w:vertAlign w:val="baseline"/>
                <w:lang w:eastAsia="zh-CN"/>
              </w:rPr>
            </w:pPr>
            <w:r>
              <w:rPr>
                <w:rFonts w:hint="eastAsia" w:cs="宋体" w:asciiTheme="minorEastAsia" w:hAnsiTheme="minorEastAsia"/>
                <w:b/>
                <w:bCs/>
                <w:sz w:val="24"/>
                <w:szCs w:val="24"/>
                <w:vertAlign w:val="baseline"/>
                <w:lang w:eastAsia="zh-CN"/>
              </w:rPr>
              <w:t>重大课题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5"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课题编号</w:t>
            </w:r>
          </w:p>
        </w:tc>
        <w:tc>
          <w:tcPr>
            <w:tcW w:w="5635"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课题名称</w:t>
            </w:r>
          </w:p>
        </w:tc>
        <w:tc>
          <w:tcPr>
            <w:tcW w:w="1064"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负责人</w:t>
            </w:r>
          </w:p>
        </w:tc>
        <w:tc>
          <w:tcPr>
            <w:tcW w:w="2506"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所在学院</w:t>
            </w:r>
          </w:p>
        </w:tc>
        <w:tc>
          <w:tcPr>
            <w:tcW w:w="1245"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成果形式</w:t>
            </w:r>
          </w:p>
        </w:tc>
        <w:tc>
          <w:tcPr>
            <w:tcW w:w="1267"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val="en-US" w:eastAsia="zh-CN"/>
              </w:rPr>
              <w:t>起止</w:t>
            </w:r>
            <w:r>
              <w:rPr>
                <w:rFonts w:hint="eastAsia" w:cs="宋体" w:asciiTheme="minorEastAsia" w:hAnsiTheme="minorEastAsia"/>
                <w:b/>
                <w:bCs/>
                <w:sz w:val="21"/>
                <w:szCs w:val="21"/>
                <w:vertAlign w:val="baseline"/>
                <w:lang w:eastAsia="zh-CN"/>
              </w:rPr>
              <w:t>时间</w:t>
            </w:r>
          </w:p>
        </w:tc>
        <w:tc>
          <w:tcPr>
            <w:tcW w:w="110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2019YCZDA01</w:t>
            </w:r>
          </w:p>
        </w:tc>
        <w:tc>
          <w:tcPr>
            <w:tcW w:w="5635"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基于跨境电商平台的搜索引擎营销技术之付费搜索研究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詹梓钊</w:t>
            </w:r>
          </w:p>
        </w:tc>
        <w:tc>
          <w:tcPr>
            <w:tcW w:w="250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阿里巴巴商学院</w:t>
            </w:r>
          </w:p>
        </w:tc>
        <w:tc>
          <w:tcPr>
            <w:tcW w:w="124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lang w:eastAsia="zh-CN"/>
              </w:rPr>
              <w:t>报告、论文</w:t>
            </w:r>
          </w:p>
        </w:tc>
        <w:tc>
          <w:tcPr>
            <w:tcW w:w="1267"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lang w:val="en-US" w:eastAsia="zh-CN"/>
              </w:rPr>
              <w:t xml:space="preserve">2019.4— </w:t>
            </w:r>
            <w:r>
              <w:rPr>
                <w:sz w:val="20"/>
                <w:szCs w:val="20"/>
              </w:rPr>
              <w:t xml:space="preserve">   </w:t>
            </w:r>
            <w:r>
              <w:rPr>
                <w:rFonts w:hint="eastAsia"/>
                <w:sz w:val="20"/>
                <w:szCs w:val="20"/>
                <w:lang w:val="en-US" w:eastAsia="zh-CN"/>
              </w:rPr>
              <w:t>2020.4</w:t>
            </w:r>
          </w:p>
        </w:tc>
        <w:tc>
          <w:tcPr>
            <w:tcW w:w="1100"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2019YCZDA02</w:t>
            </w:r>
          </w:p>
        </w:tc>
        <w:tc>
          <w:tcPr>
            <w:tcW w:w="5635"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以DNA加合物为检测靶标的中药毒性化学成分的快速筛选研究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杨</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娟</w:t>
            </w:r>
          </w:p>
        </w:tc>
        <w:tc>
          <w:tcPr>
            <w:tcW w:w="250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材料与化学化工学院</w:t>
            </w:r>
          </w:p>
        </w:tc>
        <w:tc>
          <w:tcPr>
            <w:tcW w:w="124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67" w:type="dxa"/>
            <w:vAlign w:val="center"/>
          </w:tcPr>
          <w:p>
            <w:pPr>
              <w:pStyle w:val="2"/>
              <w:widowControl/>
              <w:spacing w:beforeAutospacing="0" w:afterAutospacing="0" w:line="270" w:lineRule="atLeast"/>
              <w:jc w:val="center"/>
              <w:rPr>
                <w:rFonts w:hint="eastAsia"/>
                <w:sz w:val="20"/>
                <w:szCs w:val="20"/>
                <w:lang w:eastAsia="zh-CN"/>
              </w:rPr>
            </w:pPr>
            <w:r>
              <w:rPr>
                <w:rFonts w:hint="eastAsia"/>
                <w:sz w:val="20"/>
                <w:szCs w:val="20"/>
              </w:rPr>
              <w:t>201</w:t>
            </w:r>
            <w:r>
              <w:rPr>
                <w:sz w:val="20"/>
                <w:szCs w:val="20"/>
              </w:rPr>
              <w:t>9</w:t>
            </w:r>
            <w:r>
              <w:rPr>
                <w:rFonts w:hint="eastAsia"/>
                <w:sz w:val="20"/>
                <w:szCs w:val="20"/>
                <w:lang w:eastAsia="zh-CN"/>
              </w:rPr>
              <w:t>—</w:t>
            </w:r>
          </w:p>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rPr>
              <w:t>20</w:t>
            </w:r>
            <w:r>
              <w:rPr>
                <w:sz w:val="20"/>
                <w:szCs w:val="20"/>
              </w:rPr>
              <w:t>20</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2019YCZDA03</w:t>
            </w:r>
          </w:p>
        </w:tc>
        <w:tc>
          <w:tcPr>
            <w:tcW w:w="5635"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不同类型家庭农场经营效率研究—以浙江省为例</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张</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航</w:t>
            </w:r>
          </w:p>
        </w:tc>
        <w:tc>
          <w:tcPr>
            <w:tcW w:w="250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经济与管理学院</w:t>
            </w:r>
          </w:p>
        </w:tc>
        <w:tc>
          <w:tcPr>
            <w:tcW w:w="124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67"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lang w:val="en-US" w:eastAsia="zh-CN"/>
              </w:rPr>
              <w:t>2019.4</w:t>
            </w:r>
            <w:r>
              <w:rPr>
                <w:rFonts w:hint="eastAsia"/>
                <w:sz w:val="20"/>
                <w:szCs w:val="20"/>
                <w:lang w:eastAsia="zh-CN"/>
              </w:rPr>
              <w:t>—</w:t>
            </w:r>
            <w:r>
              <w:rPr>
                <w:rFonts w:hint="eastAsia"/>
                <w:sz w:val="20"/>
                <w:szCs w:val="20"/>
                <w:lang w:val="en-US" w:eastAsia="zh-CN"/>
              </w:rPr>
              <w:t>2019.12</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2019YCZDA04</w:t>
            </w:r>
          </w:p>
        </w:tc>
        <w:tc>
          <w:tcPr>
            <w:tcW w:w="5635"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网络直播“破窗”乱象对大学生的危害与对策研究—基于法治教育视角</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李金明</w:t>
            </w:r>
          </w:p>
        </w:tc>
        <w:tc>
          <w:tcPr>
            <w:tcW w:w="250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沈钧儒法学院</w:t>
            </w:r>
          </w:p>
        </w:tc>
        <w:tc>
          <w:tcPr>
            <w:tcW w:w="1245"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eastAsia="zh-CN"/>
              </w:rPr>
            </w:pPr>
            <w:r>
              <w:rPr>
                <w:rFonts w:hint="eastAsia" w:cs="宋体" w:asciiTheme="minorEastAsia" w:hAnsiTheme="minorEastAsia"/>
                <w:sz w:val="20"/>
                <w:szCs w:val="20"/>
                <w:vertAlign w:val="baseline"/>
                <w:lang w:eastAsia="zh-CN"/>
              </w:rPr>
              <w:t>论文</w:t>
            </w:r>
          </w:p>
        </w:tc>
        <w:tc>
          <w:tcPr>
            <w:tcW w:w="1267"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sz w:val="20"/>
                <w:szCs w:val="20"/>
              </w:rPr>
              <w:t>2</w:t>
            </w:r>
            <w:r>
              <w:rPr>
                <w:sz w:val="20"/>
                <w:szCs w:val="20"/>
              </w:rPr>
              <w:t>019</w:t>
            </w:r>
            <w:r>
              <w:rPr>
                <w:rFonts w:hint="eastAsia"/>
                <w:sz w:val="20"/>
                <w:szCs w:val="20"/>
                <w:lang w:val="en-US" w:eastAsia="zh-CN"/>
              </w:rPr>
              <w:t>.</w:t>
            </w:r>
            <w:r>
              <w:rPr>
                <w:sz w:val="20"/>
                <w:szCs w:val="20"/>
              </w:rPr>
              <w:t>4</w:t>
            </w:r>
            <w:r>
              <w:rPr>
                <w:rFonts w:hint="eastAsia"/>
                <w:sz w:val="20"/>
                <w:szCs w:val="20"/>
              </w:rPr>
              <w:t>—</w:t>
            </w:r>
            <w:r>
              <w:rPr>
                <w:sz w:val="20"/>
                <w:szCs w:val="20"/>
              </w:rPr>
              <w:t xml:space="preserve"> 2019</w:t>
            </w:r>
            <w:r>
              <w:rPr>
                <w:rFonts w:hint="eastAsia"/>
                <w:sz w:val="20"/>
                <w:szCs w:val="20"/>
                <w:lang w:val="en-US" w:eastAsia="zh-CN"/>
              </w:rPr>
              <w:t>.</w:t>
            </w:r>
            <w:r>
              <w:rPr>
                <w:sz w:val="20"/>
                <w:szCs w:val="20"/>
              </w:rPr>
              <w:t>11</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8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2019YCZDA05</w:t>
            </w:r>
          </w:p>
        </w:tc>
        <w:tc>
          <w:tcPr>
            <w:tcW w:w="5635"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E3连接酶RNF148在结直肠癌细胞中的表达及其临床病理特征的研究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李国华</w:t>
            </w:r>
          </w:p>
        </w:tc>
        <w:tc>
          <w:tcPr>
            <w:tcW w:w="250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45"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67"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rPr>
              <w:t>2019</w:t>
            </w:r>
            <w:r>
              <w:rPr>
                <w:rFonts w:hint="eastAsia"/>
                <w:sz w:val="20"/>
                <w:szCs w:val="20"/>
                <w:lang w:val="en-US" w:eastAsia="zh-CN"/>
              </w:rPr>
              <w:t>.</w:t>
            </w:r>
            <w:r>
              <w:rPr>
                <w:rFonts w:hint="eastAsia"/>
                <w:sz w:val="20"/>
                <w:szCs w:val="20"/>
              </w:rPr>
              <w:t>3</w:t>
            </w:r>
            <w:r>
              <w:rPr>
                <w:rFonts w:hint="eastAsia"/>
                <w:sz w:val="20"/>
                <w:szCs w:val="20"/>
                <w:lang w:eastAsia="zh-CN"/>
              </w:rPr>
              <w:t>—</w:t>
            </w:r>
            <w:r>
              <w:rPr>
                <w:rFonts w:hint="eastAsia"/>
                <w:sz w:val="20"/>
                <w:szCs w:val="20"/>
              </w:rPr>
              <w:t xml:space="preserve">  </w:t>
            </w:r>
            <w:r>
              <w:rPr>
                <w:sz w:val="20"/>
                <w:szCs w:val="20"/>
              </w:rPr>
              <w:t xml:space="preserve">  </w:t>
            </w:r>
            <w:r>
              <w:rPr>
                <w:rFonts w:hint="eastAsia"/>
                <w:sz w:val="20"/>
                <w:szCs w:val="20"/>
              </w:rPr>
              <w:t>2020</w:t>
            </w:r>
            <w:r>
              <w:rPr>
                <w:rFonts w:hint="eastAsia"/>
                <w:sz w:val="20"/>
                <w:szCs w:val="20"/>
                <w:lang w:val="en-US" w:eastAsia="zh-CN"/>
              </w:rPr>
              <w:t>.</w:t>
            </w:r>
            <w:r>
              <w:rPr>
                <w:rFonts w:hint="eastAsia"/>
                <w:sz w:val="20"/>
                <w:szCs w:val="20"/>
              </w:rPr>
              <w:t>3</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3000元</w:t>
            </w:r>
          </w:p>
        </w:tc>
      </w:tr>
    </w:tbl>
    <w:p>
      <w:pPr>
        <w:jc w:val="both"/>
        <w:rPr>
          <w:rFonts w:hint="eastAsia"/>
          <w:sz w:val="20"/>
          <w:szCs w:val="22"/>
        </w:rPr>
      </w:pPr>
    </w:p>
    <w:tbl>
      <w:tblPr>
        <w:tblStyle w:val="4"/>
        <w:tblW w:w="14242"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5740"/>
        <w:gridCol w:w="1064"/>
        <w:gridCol w:w="2476"/>
        <w:gridCol w:w="1260"/>
        <w:gridCol w:w="1252"/>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4242" w:type="dxa"/>
            <w:gridSpan w:val="7"/>
            <w:vAlign w:val="top"/>
          </w:tcPr>
          <w:p>
            <w:pPr>
              <w:pStyle w:val="2"/>
              <w:widowControl/>
              <w:spacing w:beforeAutospacing="0" w:afterAutospacing="0" w:line="270" w:lineRule="atLeast"/>
              <w:jc w:val="center"/>
              <w:rPr>
                <w:rFonts w:hint="eastAsia" w:cs="宋体" w:asciiTheme="minorEastAsia" w:hAnsiTheme="minorEastAsia" w:eastAsiaTheme="minorEastAsia"/>
                <w:sz w:val="21"/>
                <w:szCs w:val="21"/>
                <w:vertAlign w:val="baseline"/>
                <w:lang w:eastAsia="zh-CN"/>
              </w:rPr>
            </w:pPr>
            <w:r>
              <w:rPr>
                <w:rFonts w:hint="eastAsia" w:cs="宋体" w:asciiTheme="minorEastAsia" w:hAnsiTheme="minorEastAsia"/>
                <w:b/>
                <w:bCs/>
                <w:sz w:val="21"/>
                <w:szCs w:val="21"/>
                <w:vertAlign w:val="baseline"/>
                <w:lang w:eastAsia="zh-CN"/>
              </w:rPr>
              <w:t>重点课题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34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课题编号</w:t>
            </w:r>
          </w:p>
        </w:tc>
        <w:tc>
          <w:tcPr>
            <w:tcW w:w="574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课题名称</w:t>
            </w:r>
          </w:p>
        </w:tc>
        <w:tc>
          <w:tcPr>
            <w:tcW w:w="1064"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负责人</w:t>
            </w:r>
          </w:p>
        </w:tc>
        <w:tc>
          <w:tcPr>
            <w:tcW w:w="2476"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所在学院</w:t>
            </w:r>
          </w:p>
        </w:tc>
        <w:tc>
          <w:tcPr>
            <w:tcW w:w="126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成果形式</w:t>
            </w:r>
          </w:p>
        </w:tc>
        <w:tc>
          <w:tcPr>
            <w:tcW w:w="1252"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val="en-US" w:eastAsia="zh-CN"/>
              </w:rPr>
              <w:t>起止</w:t>
            </w:r>
            <w:r>
              <w:rPr>
                <w:rFonts w:hint="eastAsia" w:cs="宋体" w:asciiTheme="minorEastAsia" w:hAnsiTheme="minorEastAsia"/>
                <w:b/>
                <w:bCs/>
                <w:sz w:val="21"/>
                <w:szCs w:val="21"/>
                <w:vertAlign w:val="baseline"/>
                <w:lang w:eastAsia="zh-CN"/>
              </w:rPr>
              <w:t>时间</w:t>
            </w:r>
          </w:p>
        </w:tc>
        <w:tc>
          <w:tcPr>
            <w:tcW w:w="111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2019YCZD01</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针对经济跨越式发展及在此背景下的社会网络文化传过程的建模研究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方学进</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阿里巴巴商学院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eastAsia"/>
                <w:sz w:val="20"/>
                <w:szCs w:val="20"/>
                <w:lang w:val="en-US" w:eastAsia="zh-CN"/>
              </w:rPr>
            </w:pPr>
            <w:r>
              <w:rPr>
                <w:rFonts w:hint="eastAsia"/>
                <w:sz w:val="20"/>
                <w:szCs w:val="20"/>
                <w:lang w:val="en-US" w:eastAsia="zh-CN"/>
              </w:rPr>
              <w:t>2019.4— 2020.3</w:t>
            </w:r>
          </w:p>
        </w:tc>
        <w:tc>
          <w:tcPr>
            <w:tcW w:w="1110"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2019YCZD02</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基于遥感的泥炭沼泽植被群落物候对气候变化的响应研究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庞毓雯</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理学院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eastAsia"/>
                <w:sz w:val="20"/>
                <w:szCs w:val="20"/>
                <w:lang w:val="en-US" w:eastAsia="zh-CN"/>
              </w:rPr>
            </w:pPr>
            <w:r>
              <w:rPr>
                <w:rFonts w:hint="eastAsia"/>
                <w:sz w:val="20"/>
                <w:szCs w:val="20"/>
                <w:lang w:val="en-US" w:eastAsia="zh-CN"/>
              </w:rPr>
              <w:t>2019.4— 2020.4</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2019YCZD03</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农村高血压患者对基层医生信任、满意度和治疗依从性的关系研究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陈文琴</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rPr>
              <w:t>研究报告</w:t>
            </w:r>
          </w:p>
        </w:tc>
        <w:tc>
          <w:tcPr>
            <w:tcW w:w="1252" w:type="dxa"/>
            <w:vAlign w:val="center"/>
          </w:tcPr>
          <w:p>
            <w:pPr>
              <w:pStyle w:val="2"/>
              <w:widowControl/>
              <w:spacing w:beforeAutospacing="0" w:afterAutospacing="0" w:line="270" w:lineRule="atLeast"/>
              <w:jc w:val="center"/>
              <w:rPr>
                <w:rFonts w:hint="eastAsia"/>
                <w:sz w:val="20"/>
                <w:szCs w:val="20"/>
                <w:lang w:val="en-US" w:eastAsia="zh-CN"/>
              </w:rPr>
            </w:pPr>
            <w:r>
              <w:rPr>
                <w:rFonts w:hint="eastAsia"/>
                <w:sz w:val="20"/>
                <w:szCs w:val="20"/>
                <w:lang w:val="en-US" w:eastAsia="zh-CN"/>
              </w:rPr>
              <w:t>2019.3—2019.11</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2019YCZD04</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雌雄青杨对水和磷匮缺的响应和适应差异</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何</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玥</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生命与环境科学学院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default"/>
                <w:sz w:val="20"/>
                <w:szCs w:val="20"/>
                <w:lang w:val="en-US" w:eastAsia="zh-CN"/>
              </w:rPr>
            </w:pPr>
            <w:r>
              <w:rPr>
                <w:rFonts w:hint="eastAsia"/>
                <w:sz w:val="20"/>
                <w:szCs w:val="20"/>
                <w:lang w:val="en-US" w:eastAsia="zh-CN"/>
              </w:rPr>
              <w:t>2019.3— 2020.6</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2019YCZD05</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榄香烯逆转肺腺癌细胞对埃克替尼耐药的分子机制研究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张明明</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60" w:type="dxa"/>
            <w:vAlign w:val="center"/>
          </w:tcPr>
          <w:p>
            <w:pPr>
              <w:pStyle w:val="2"/>
              <w:widowControl/>
              <w:spacing w:beforeAutospacing="0" w:afterAutospacing="0" w:line="270" w:lineRule="atLeast"/>
              <w:jc w:val="center"/>
              <w:rPr>
                <w:rFonts w:hint="eastAsia" w:ascii="宋体" w:hAnsi="宋体" w:eastAsia="宋体" w:cs="宋体"/>
                <w:i w:val="0"/>
                <w:color w:val="000000"/>
                <w:kern w:val="0"/>
                <w:sz w:val="20"/>
                <w:szCs w:val="20"/>
                <w:u w:val="none"/>
                <w:lang w:val="en-US" w:eastAsia="zh-CN" w:bidi="ar"/>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eastAsia"/>
                <w:sz w:val="20"/>
                <w:szCs w:val="20"/>
                <w:lang w:val="en-US" w:eastAsia="zh-CN"/>
              </w:rPr>
            </w:pPr>
            <w:r>
              <w:rPr>
                <w:rFonts w:hint="eastAsia"/>
                <w:sz w:val="20"/>
                <w:szCs w:val="20"/>
                <w:lang w:val="en-US" w:eastAsia="zh-CN"/>
              </w:rPr>
              <w:t>2019.3—2020.3</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2019YCZD06</w:t>
            </w:r>
          </w:p>
        </w:tc>
        <w:tc>
          <w:tcPr>
            <w:tcW w:w="5740"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榄香烯逆转肺癌细胞对吉非替尼耐药的分子机制研究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韩雪蒙</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eastAsia"/>
                <w:sz w:val="20"/>
                <w:szCs w:val="20"/>
                <w:lang w:val="en-US" w:eastAsia="zh-CN"/>
              </w:rPr>
            </w:pPr>
            <w:r>
              <w:rPr>
                <w:rFonts w:hint="eastAsia"/>
                <w:sz w:val="20"/>
                <w:szCs w:val="20"/>
                <w:lang w:val="en-US" w:eastAsia="zh-CN"/>
              </w:rPr>
              <w:t>2019.4—2020.4</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4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2019YCZD07</w:t>
            </w:r>
          </w:p>
        </w:tc>
        <w:tc>
          <w:tcPr>
            <w:tcW w:w="5740" w:type="dxa"/>
            <w:vAlign w:val="center"/>
          </w:tcPr>
          <w:p>
            <w:pPr>
              <w:pStyle w:val="2"/>
              <w:widowControl/>
              <w:spacing w:beforeAutospacing="0" w:afterAutospacing="0" w:line="270" w:lineRule="atLeast"/>
              <w:jc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生态型师生关系内涵、表征和建构策略</w:t>
            </w:r>
          </w:p>
        </w:tc>
        <w:tc>
          <w:tcPr>
            <w:tcW w:w="1064" w:type="dxa"/>
            <w:vAlign w:val="center"/>
          </w:tcPr>
          <w:p>
            <w:pPr>
              <w:keepNext w:val="0"/>
              <w:keepLines w:val="0"/>
              <w:widowControl/>
              <w:suppressLineNumbers w:val="0"/>
              <w:jc w:val="center"/>
              <w:textAlignment w:val="bottom"/>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郑诗琦</w:t>
            </w:r>
          </w:p>
        </w:tc>
        <w:tc>
          <w:tcPr>
            <w:tcW w:w="2476"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教育学院</w:t>
            </w:r>
          </w:p>
        </w:tc>
        <w:tc>
          <w:tcPr>
            <w:tcW w:w="1260"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52" w:type="dxa"/>
            <w:vAlign w:val="center"/>
          </w:tcPr>
          <w:p>
            <w:pPr>
              <w:pStyle w:val="2"/>
              <w:widowControl/>
              <w:spacing w:beforeAutospacing="0" w:afterAutospacing="0" w:line="270" w:lineRule="atLeast"/>
              <w:jc w:val="center"/>
              <w:rPr>
                <w:rFonts w:hint="default"/>
                <w:sz w:val="20"/>
                <w:szCs w:val="20"/>
                <w:lang w:val="en-US" w:eastAsia="zh-CN"/>
              </w:rPr>
            </w:pPr>
            <w:r>
              <w:rPr>
                <w:rFonts w:hint="eastAsia"/>
                <w:sz w:val="20"/>
                <w:szCs w:val="20"/>
                <w:lang w:val="en-US" w:eastAsia="zh-CN"/>
              </w:rPr>
              <w:t>2019.4—2019.11</w:t>
            </w:r>
          </w:p>
        </w:tc>
        <w:tc>
          <w:tcPr>
            <w:tcW w:w="111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2000元</w:t>
            </w:r>
          </w:p>
        </w:tc>
      </w:tr>
    </w:tbl>
    <w:p>
      <w:pPr>
        <w:jc w:val="center"/>
        <w:rPr>
          <w:rFonts w:hint="eastAsia"/>
        </w:rPr>
      </w:pPr>
    </w:p>
    <w:tbl>
      <w:tblPr>
        <w:tblStyle w:val="4"/>
        <w:tblW w:w="1424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813"/>
        <w:gridCol w:w="1064"/>
        <w:gridCol w:w="2458"/>
        <w:gridCol w:w="1276"/>
        <w:gridCol w:w="1224"/>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4249" w:type="dxa"/>
            <w:gridSpan w:val="7"/>
            <w:vAlign w:val="top"/>
          </w:tcPr>
          <w:p>
            <w:pPr>
              <w:pStyle w:val="2"/>
              <w:widowControl/>
              <w:spacing w:beforeAutospacing="0" w:afterAutospacing="0" w:line="270" w:lineRule="atLeast"/>
              <w:jc w:val="center"/>
              <w:rPr>
                <w:rFonts w:hint="eastAsia" w:cs="宋体" w:asciiTheme="minorEastAsia" w:hAnsiTheme="minorEastAsia" w:eastAsiaTheme="minorEastAsia"/>
                <w:b/>
                <w:bCs/>
                <w:sz w:val="21"/>
                <w:szCs w:val="21"/>
                <w:vertAlign w:val="baseline"/>
                <w:lang w:eastAsia="zh-CN"/>
              </w:rPr>
            </w:pPr>
            <w:r>
              <w:rPr>
                <w:rFonts w:hint="eastAsia" w:cs="宋体" w:asciiTheme="minorEastAsia" w:hAnsiTheme="minorEastAsia"/>
                <w:b/>
                <w:bCs/>
                <w:sz w:val="24"/>
                <w:szCs w:val="24"/>
                <w:vertAlign w:val="baseline"/>
                <w:lang w:eastAsia="zh-CN"/>
              </w:rPr>
              <w:t>一般课题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1314"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课题编号</w:t>
            </w:r>
          </w:p>
        </w:tc>
        <w:tc>
          <w:tcPr>
            <w:tcW w:w="5813"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课题名称</w:t>
            </w:r>
          </w:p>
        </w:tc>
        <w:tc>
          <w:tcPr>
            <w:tcW w:w="1064"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负责人</w:t>
            </w:r>
          </w:p>
        </w:tc>
        <w:tc>
          <w:tcPr>
            <w:tcW w:w="2458"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所在学院</w:t>
            </w:r>
          </w:p>
        </w:tc>
        <w:tc>
          <w:tcPr>
            <w:tcW w:w="1276"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成果形式</w:t>
            </w:r>
          </w:p>
        </w:tc>
        <w:tc>
          <w:tcPr>
            <w:tcW w:w="1224"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val="en-US" w:eastAsia="zh-CN"/>
              </w:rPr>
              <w:t>起止</w:t>
            </w:r>
            <w:r>
              <w:rPr>
                <w:rFonts w:hint="eastAsia" w:cs="宋体" w:asciiTheme="minorEastAsia" w:hAnsiTheme="minorEastAsia"/>
                <w:b/>
                <w:bCs/>
                <w:sz w:val="21"/>
                <w:szCs w:val="21"/>
                <w:vertAlign w:val="baseline"/>
                <w:lang w:eastAsia="zh-CN"/>
              </w:rPr>
              <w:t>时间</w:t>
            </w:r>
          </w:p>
        </w:tc>
        <w:tc>
          <w:tcPr>
            <w:tcW w:w="1100" w:type="dxa"/>
            <w:vAlign w:val="top"/>
          </w:tcPr>
          <w:p>
            <w:pPr>
              <w:pStyle w:val="2"/>
              <w:widowControl/>
              <w:spacing w:beforeAutospacing="0" w:afterAutospacing="0" w:line="270" w:lineRule="atLeast"/>
              <w:jc w:val="center"/>
              <w:rPr>
                <w:rFonts w:hint="eastAsia" w:cs="宋体" w:asciiTheme="minorEastAsia" w:hAnsiTheme="minorEastAsia"/>
                <w:b/>
                <w:bCs/>
                <w:sz w:val="21"/>
                <w:szCs w:val="21"/>
                <w:vertAlign w:val="baseline"/>
                <w:lang w:eastAsia="zh-CN"/>
              </w:rPr>
            </w:pPr>
            <w:r>
              <w:rPr>
                <w:rFonts w:hint="eastAsia" w:cs="宋体" w:asciiTheme="minorEastAsia" w:hAnsiTheme="minorEastAsia"/>
                <w:b/>
                <w:bCs/>
                <w:sz w:val="21"/>
                <w:szCs w:val="21"/>
                <w:vertAlign w:val="baseline"/>
                <w:lang w:eastAsia="zh-CN"/>
              </w:rPr>
              <w:t>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2019YCYB01</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一种基于多层复杂网络评估基础设施网络鲁棒性的方法</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曹延云</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阿里巴巴商学院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rPr>
              <w:t>专利</w:t>
            </w:r>
            <w:r>
              <w:rPr>
                <w:rFonts w:hint="eastAsia"/>
                <w:sz w:val="20"/>
                <w:szCs w:val="20"/>
                <w:lang w:eastAsia="zh-CN"/>
              </w:rPr>
              <w:t>、</w:t>
            </w:r>
            <w:r>
              <w:rPr>
                <w:rFonts w:hint="eastAsia"/>
                <w:sz w:val="20"/>
                <w:szCs w:val="20"/>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2018.10—2019.10</w:t>
            </w:r>
          </w:p>
        </w:tc>
        <w:tc>
          <w:tcPr>
            <w:tcW w:w="1100"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2019YCYB02</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基于多靶标酶固定化技术的抗心血管病活性成分筛选研究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董</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新</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材料与化学化工学院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2019.10—2020.11</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2019YCYB03</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基于Google Earth Engine的青藏高原湖冰物候研究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黄雨馨</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理学院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default" w:cs="Times New Roman"/>
                <w:sz w:val="20"/>
                <w:szCs w:val="20"/>
                <w:lang w:val="en-US" w:eastAsia="zh-CN"/>
              </w:rPr>
            </w:pPr>
            <w:r>
              <w:rPr>
                <w:rFonts w:hint="eastAsia" w:cs="Times New Roman"/>
                <w:sz w:val="20"/>
                <w:szCs w:val="20"/>
                <w:lang w:val="en-US" w:eastAsia="zh-CN"/>
              </w:rPr>
              <w:t>2019.3—2019.12</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2019YCYB04</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社区“食材花道”艺术就业研究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周一新</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美术学院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lang w:eastAsia="zh-CN"/>
              </w:rPr>
              <w:t>论文、展览、竞赛</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 xml:space="preserve">2019.4—2019.12 </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rPr>
            </w:pPr>
            <w:r>
              <w:rPr>
                <w:rFonts w:hint="eastAsia" w:cs="宋体" w:asciiTheme="minorEastAsia" w:hAnsiTheme="minorEastAsia"/>
                <w:sz w:val="20"/>
                <w:szCs w:val="20"/>
                <w:vertAlign w:val="baseline"/>
                <w:lang w:val="en-US" w:eastAsia="zh-CN"/>
              </w:rPr>
              <w:t>2019YCYB05</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草莓SSR引物开发及遗传多样性分析</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杨梦婷</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生命与环境科学学院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2019.1—</w:t>
            </w:r>
          </w:p>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2019.12</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2019YCYB06</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个人健康责任测评指标体系构建与实证研究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孟佳瑜</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2019.4—2019.10</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2019YCYB07</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基于新型微纳型提取技术的温郁金质量评价方法研究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宋晓玉</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76" w:type="dxa"/>
            <w:vAlign w:val="center"/>
          </w:tcPr>
          <w:p>
            <w:pPr>
              <w:pStyle w:val="2"/>
              <w:widowControl/>
              <w:spacing w:beforeAutospacing="0" w:afterAutospacing="0" w:line="270" w:lineRule="atLeast"/>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2019.2—2019.12</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2019YCYB08</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浙江省二胎孕妇社会资本水平对孕产期抑郁的影响分析</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吴</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爽</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eastAsiaTheme="minorEastAsia"/>
                <w:sz w:val="20"/>
                <w:szCs w:val="20"/>
                <w:vertAlign w:val="baseline"/>
                <w:lang w:eastAsia="zh-CN"/>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2019.4—2019.11</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2019YCYB09</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共同目标设定对冠心病PCI术后自我管理结局指标的效果评价</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杨奕婷</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2019.1—2019.12</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2019YCYB10</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持久性有机污染物与听力损失相关性及对策研究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朱雅俊</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医学院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2018—2019</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2019YCYB11</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杭州市余杭区惠老助餐服务问题研究</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陈</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亚</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公共管理学院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eastAsia="zh-CN"/>
              </w:rPr>
              <w:t>论文</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2019.4— 2019.11</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314"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lang w:val="en-US" w:eastAsia="zh-CN"/>
              </w:rPr>
            </w:pPr>
            <w:r>
              <w:rPr>
                <w:rFonts w:hint="eastAsia" w:cs="宋体" w:asciiTheme="minorEastAsia" w:hAnsiTheme="minorEastAsia"/>
                <w:sz w:val="20"/>
                <w:szCs w:val="20"/>
                <w:vertAlign w:val="baseline"/>
                <w:lang w:val="en-US" w:eastAsia="zh-CN"/>
              </w:rPr>
              <w:t>2019YCYB12</w:t>
            </w:r>
          </w:p>
        </w:tc>
        <w:tc>
          <w:tcPr>
            <w:tcW w:w="5813"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城市社区治理中基层工会组织的创新研究——以江干区凯旋街道F社区工会为例</w:t>
            </w:r>
          </w:p>
        </w:tc>
        <w:tc>
          <w:tcPr>
            <w:tcW w:w="1064"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高</w:t>
            </w:r>
            <w:r>
              <w:rPr>
                <w:rFonts w:hint="eastAsia" w:cs="宋体" w:asciiTheme="minorEastAsia" w:hAnsiTheme="minorEastAsia"/>
                <w:kern w:val="0"/>
                <w:sz w:val="20"/>
                <w:szCs w:val="20"/>
                <w:vertAlign w:val="baseline"/>
                <w:lang w:val="en-US" w:eastAsia="zh-CN" w:bidi="ar-SA"/>
              </w:rPr>
              <w:t xml:space="preserve">  </w:t>
            </w:r>
            <w:r>
              <w:rPr>
                <w:rFonts w:hint="eastAsia" w:cs="宋体" w:asciiTheme="minorEastAsia" w:hAnsiTheme="minorEastAsia" w:eastAsiaTheme="minorEastAsia"/>
                <w:kern w:val="0"/>
                <w:sz w:val="20"/>
                <w:szCs w:val="20"/>
                <w:vertAlign w:val="baseline"/>
                <w:lang w:val="en-US" w:eastAsia="zh-CN" w:bidi="ar-SA"/>
              </w:rPr>
              <w:t>健</w:t>
            </w:r>
          </w:p>
        </w:tc>
        <w:tc>
          <w:tcPr>
            <w:tcW w:w="2458" w:type="dxa"/>
            <w:vAlign w:val="center"/>
          </w:tcPr>
          <w:p>
            <w:pPr>
              <w:keepNext w:val="0"/>
              <w:keepLines w:val="0"/>
              <w:widowControl/>
              <w:suppressLineNumbers w:val="0"/>
              <w:jc w:val="center"/>
              <w:textAlignment w:val="center"/>
              <w:rPr>
                <w:rFonts w:hint="eastAsia" w:cs="宋体" w:asciiTheme="minorEastAsia" w:hAnsiTheme="minorEastAsia" w:eastAsiaTheme="minorEastAsia"/>
                <w:kern w:val="0"/>
                <w:sz w:val="20"/>
                <w:szCs w:val="20"/>
                <w:vertAlign w:val="baseline"/>
                <w:lang w:val="en-US" w:eastAsia="zh-CN" w:bidi="ar-SA"/>
              </w:rPr>
            </w:pPr>
            <w:r>
              <w:rPr>
                <w:rFonts w:hint="eastAsia" w:cs="宋体" w:asciiTheme="minorEastAsia" w:hAnsiTheme="minorEastAsia" w:eastAsiaTheme="minorEastAsia"/>
                <w:kern w:val="0"/>
                <w:sz w:val="20"/>
                <w:szCs w:val="20"/>
                <w:vertAlign w:val="baseline"/>
                <w:lang w:val="en-US" w:eastAsia="zh-CN" w:bidi="ar-SA"/>
              </w:rPr>
              <w:t>公共管理学院</w:t>
            </w:r>
          </w:p>
        </w:tc>
        <w:tc>
          <w:tcPr>
            <w:tcW w:w="1276" w:type="dxa"/>
            <w:vAlign w:val="center"/>
          </w:tcPr>
          <w:p>
            <w:pPr>
              <w:pStyle w:val="2"/>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sz w:val="20"/>
                <w:szCs w:val="20"/>
              </w:rPr>
              <w:t>调研报告</w:t>
            </w:r>
          </w:p>
        </w:tc>
        <w:tc>
          <w:tcPr>
            <w:tcW w:w="1224" w:type="dxa"/>
            <w:vAlign w:val="center"/>
          </w:tcPr>
          <w:p>
            <w:pPr>
              <w:pStyle w:val="2"/>
              <w:widowControl/>
              <w:spacing w:beforeAutospacing="0" w:afterAutospacing="0" w:line="270" w:lineRule="atLeast"/>
              <w:jc w:val="center"/>
              <w:rPr>
                <w:rFonts w:hint="eastAsia" w:cs="Times New Roman"/>
                <w:sz w:val="20"/>
                <w:szCs w:val="20"/>
                <w:lang w:val="en-US" w:eastAsia="zh-CN"/>
              </w:rPr>
            </w:pPr>
            <w:r>
              <w:rPr>
                <w:rFonts w:hint="eastAsia" w:cs="Times New Roman"/>
                <w:sz w:val="20"/>
                <w:szCs w:val="20"/>
                <w:lang w:val="en-US" w:eastAsia="zh-CN"/>
              </w:rPr>
              <w:t>2019.4— 2019.11</w:t>
            </w:r>
          </w:p>
        </w:tc>
        <w:tc>
          <w:tcPr>
            <w:tcW w:w="1100" w:type="dxa"/>
            <w:vAlign w:val="center"/>
          </w:tcPr>
          <w:p>
            <w:pPr>
              <w:widowControl/>
              <w:spacing w:beforeAutospacing="0" w:afterAutospacing="0" w:line="270" w:lineRule="atLeast"/>
              <w:jc w:val="center"/>
              <w:rPr>
                <w:rFonts w:hint="eastAsia" w:cs="宋体" w:asciiTheme="minorEastAsia" w:hAnsiTheme="minorEastAsia"/>
                <w:sz w:val="20"/>
                <w:szCs w:val="20"/>
                <w:vertAlign w:val="baseline"/>
              </w:rPr>
            </w:pPr>
            <w:r>
              <w:rPr>
                <w:rFonts w:hint="eastAsia" w:cs="宋体" w:asciiTheme="minorEastAsia" w:hAnsiTheme="minorEastAsia"/>
                <w:sz w:val="20"/>
                <w:szCs w:val="20"/>
                <w:vertAlign w:val="baseline"/>
                <w:lang w:val="en-US" w:eastAsia="zh-CN"/>
              </w:rPr>
              <w:t>1000元</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14556"/>
    <w:rsid w:val="3F714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2019-12-20T07:08:00Z</dcterms:created>
  <dc:creator>flyyujing163com</dc:creator>
  <cp:lastModifiedBy>flyyujing163com</cp:lastModifiedBy>
  <dcterms:modified xsi:type="dcterms:W3CDTF">2019-12-20T07:08:59Z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