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22" w:rsidRDefault="00125C22" w:rsidP="00125C22">
      <w:pPr>
        <w:jc w:val="center"/>
        <w:rPr>
          <w:rFonts w:ascii="华文新魏" w:eastAsia="华文新魏" w:hint="eastAsia"/>
          <w:b/>
          <w:sz w:val="32"/>
          <w:szCs w:val="32"/>
        </w:rPr>
      </w:pPr>
      <w:r>
        <w:rPr>
          <w:rFonts w:ascii="华文新魏" w:eastAsia="华文新魏" w:hint="eastAsia"/>
          <w:b/>
          <w:sz w:val="32"/>
          <w:szCs w:val="32"/>
        </w:rPr>
        <w:t>2017年硕士研究生入学考试科目《舞蹈艺术概论》考试大纲</w:t>
      </w:r>
    </w:p>
    <w:p w:rsidR="00125C22" w:rsidRDefault="00125C22" w:rsidP="00125C22">
      <w:pPr>
        <w:spacing w:line="160" w:lineRule="exac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7980"/>
      </w:tblGrid>
      <w:tr w:rsidR="00125C22" w:rsidTr="007016CF">
        <w:trPr>
          <w:trHeight w:val="851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参考书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snapToGrid w:val="0"/>
              <w:jc w:val="lef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《舞蹈艺术概论》（修订版），隆荫培、徐尔充，上海音乐出版社，2009年版</w:t>
            </w:r>
          </w:p>
        </w:tc>
      </w:tr>
      <w:tr w:rsidR="00125C22" w:rsidTr="007016CF">
        <w:trPr>
          <w:trHeight w:val="1929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考试内容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舞蹈艺术基础理论和知识</w:t>
            </w:r>
          </w:p>
        </w:tc>
      </w:tr>
      <w:tr w:rsidR="00125C22" w:rsidTr="007016CF">
        <w:trPr>
          <w:trHeight w:val="1588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试卷内容结构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舞蹈基础理论知识占</w:t>
            </w:r>
            <w:r>
              <w:rPr>
                <w:rFonts w:hint="eastAsia"/>
                <w:color w:val="000000"/>
              </w:rPr>
              <w:t>100%</w:t>
            </w:r>
          </w:p>
        </w:tc>
      </w:tr>
      <w:tr w:rsidR="00125C22" w:rsidTr="007016CF">
        <w:trPr>
          <w:trHeight w:val="1588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试卷难易结构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难度适中，达到本科毕业要求水平</w:t>
            </w:r>
          </w:p>
        </w:tc>
      </w:tr>
      <w:tr w:rsidR="00125C22" w:rsidTr="007016CF">
        <w:trPr>
          <w:trHeight w:val="1588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试卷题型结构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名词解释、简答题、论述题</w:t>
            </w:r>
          </w:p>
        </w:tc>
      </w:tr>
      <w:tr w:rsidR="00125C22" w:rsidTr="007016CF">
        <w:trPr>
          <w:trHeight w:val="1588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试卷分值结构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</w:rPr>
            </w:pPr>
            <w:r>
              <w:rPr>
                <w:rFonts w:ascii="Verdana" w:hAnsi="Verdana"/>
                <w:color w:val="000000"/>
                <w:szCs w:val="21"/>
              </w:rPr>
              <w:t>主观题型的判分采取的是整体评分的原则，全方位客观评判</w:t>
            </w:r>
            <w:r>
              <w:rPr>
                <w:rFonts w:ascii="Verdana" w:hAnsi="Verdana" w:hint="eastAsia"/>
                <w:color w:val="000000"/>
                <w:szCs w:val="21"/>
              </w:rPr>
              <w:t>考生掌握知识的程度</w:t>
            </w:r>
            <w:r>
              <w:rPr>
                <w:rFonts w:ascii="Verdana" w:hAnsi="Verdana"/>
                <w:color w:val="000000"/>
                <w:szCs w:val="21"/>
              </w:rPr>
              <w:t>和答题的总体质量</w:t>
            </w:r>
          </w:p>
        </w:tc>
      </w:tr>
      <w:tr w:rsidR="00125C22" w:rsidTr="007016CF">
        <w:trPr>
          <w:trHeight w:val="1588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评分标准和要求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  <w:szCs w:val="21"/>
              </w:rPr>
            </w:pPr>
          </w:p>
        </w:tc>
      </w:tr>
      <w:tr w:rsidR="00125C22" w:rsidTr="007016CF">
        <w:trPr>
          <w:trHeight w:val="627"/>
        </w:trPr>
        <w:tc>
          <w:tcPr>
            <w:tcW w:w="1893" w:type="dxa"/>
            <w:vAlign w:val="center"/>
          </w:tcPr>
          <w:p w:rsidR="00125C22" w:rsidRDefault="00125C22" w:rsidP="007016CF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7980" w:type="dxa"/>
            <w:vAlign w:val="center"/>
          </w:tcPr>
          <w:p w:rsidR="00125C22" w:rsidRDefault="00125C22" w:rsidP="007016CF">
            <w:pPr>
              <w:rPr>
                <w:rFonts w:hint="eastAsia"/>
                <w:color w:val="000000"/>
              </w:rPr>
            </w:pPr>
          </w:p>
        </w:tc>
      </w:tr>
    </w:tbl>
    <w:p w:rsidR="00125C22" w:rsidRDefault="00125C22" w:rsidP="00125C22">
      <w:pPr>
        <w:rPr>
          <w:rFonts w:hint="eastAsia"/>
          <w:color w:val="000000"/>
        </w:rPr>
      </w:pPr>
    </w:p>
    <w:p w:rsidR="00125C22" w:rsidRDefault="00125C22" w:rsidP="00125C22">
      <w:pPr>
        <w:jc w:val="left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一级学科硕士点召集人签名：</w:t>
      </w:r>
      <w:r>
        <w:rPr>
          <w:rFonts w:hint="eastAsia"/>
          <w:color w:val="000000"/>
          <w:szCs w:val="21"/>
        </w:rPr>
        <w:t xml:space="preserve">                       (</w:t>
      </w:r>
      <w:r>
        <w:rPr>
          <w:rFonts w:hint="eastAsia"/>
          <w:color w:val="000000"/>
          <w:szCs w:val="21"/>
        </w:rPr>
        <w:t>学院盖章</w:t>
      </w:r>
      <w:r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学院分管院长签名：</w:t>
      </w:r>
    </w:p>
    <w:p w:rsidR="00125C22" w:rsidRDefault="00125C22" w:rsidP="00125C22">
      <w:pPr>
        <w:jc w:val="left"/>
        <w:rPr>
          <w:rFonts w:hint="eastAsia"/>
          <w:color w:val="000000"/>
          <w:szCs w:val="21"/>
        </w:rPr>
      </w:pPr>
    </w:p>
    <w:p w:rsidR="00125C22" w:rsidRDefault="00125C22" w:rsidP="00125C22">
      <w:pPr>
        <w:jc w:val="left"/>
        <w:rPr>
          <w:rFonts w:hint="eastAsia"/>
          <w:color w:val="000000"/>
          <w:szCs w:val="21"/>
        </w:rPr>
      </w:pPr>
    </w:p>
    <w:p w:rsidR="006626F8" w:rsidRPr="00125C22" w:rsidRDefault="006626F8"/>
    <w:sectPr w:rsidR="006626F8" w:rsidRPr="00125C22" w:rsidSect="00125C22">
      <w:pgSz w:w="11907" w:h="16840"/>
      <w:pgMar w:top="1134" w:right="1134" w:bottom="1134" w:left="1134" w:header="851" w:footer="851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C22"/>
    <w:rsid w:val="001033DC"/>
    <w:rsid w:val="00125C22"/>
    <w:rsid w:val="00305A27"/>
    <w:rsid w:val="0066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2016-09-22T06:12:00Z</dcterms:created>
  <dcterms:modified xsi:type="dcterms:W3CDTF">2016-09-22T06:12:00Z</dcterms:modified>
</cp:coreProperties>
</file>